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P7.1.1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JSON[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"page": 0,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"doc_id": 0,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"doc_type": "Lender Fee Sheet"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"page": 1,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"doc_id": 1,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"doc_type": "Payslip"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"page": 2,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"doc_id": 2,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"doc_type": "Contract"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"page": 3,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"doc_id": 2,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"doc_type": "Contract"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"page": 4,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"doc_id": 2,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"doc_type": "Contract"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"page": 5,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"doc_id": 2,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"doc_type": "Contract"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"page": 6,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"doc_id": 2,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"doc_type": "Contract"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P7.1.1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used the </w:t>
      </w:r>
      <w:r w:rsidDel="00000000" w:rsidR="00000000" w:rsidRPr="00000000">
        <w:rPr>
          <w:b w:val="1"/>
          <w:rtl w:val="0"/>
        </w:rPr>
        <w:t xml:space="preserve">Mistral 7B Instruct v0.2 (GGUF)</w:t>
      </w:r>
      <w:r w:rsidDel="00000000" w:rsidR="00000000" w:rsidRPr="00000000">
        <w:rPr>
          <w:rtl w:val="0"/>
        </w:rPr>
        <w:t xml:space="preserve"> model to power my document segmentation pipeline. This model was chosen for its strong instruction-following capabilities and its ability to generate reliable structured output (JSON), which was essential for this task. It offers a great balance of performance and efficiency, running effectively on a standard Colab T4 GPU.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tricky edge case was correctly identifying the "Annexure A" page of the contract. Initially, the model flagged it as a new document due to the distinct header. I refined the prompt to instruct the model that appendices and annexures are continuations, which improved its accuracy. Another challenge was handling pages with very little text, which required adding a fallback in the code in case the model's JSON output was malformed.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improve reliability further in a production system, I would implement a confidence scoring mechanism where the LLM also returns a confidence level for its prediction. Any classification below a certain threshold would be automatically flagged for human review, creating a robust human-in-the-loop system.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