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**Report Period:** [Start Date] - [End Date]</w:t>
        <w:br/>
        <w:br/>
        <w:t>**Total Reimbursement by Category:**</w:t>
        <w:br/>
        <w:br/>
        <w:t>| Category | Amount |</w:t>
        <w:br/>
        <w:t>|---|---|</w:t>
        <w:br/>
        <w:t>| Miscellaneous | ₹700.00 |</w:t>
        <w:br/>
        <w:br/>
        <w:t>**Total Non-Reimbursable Amounts by Category:**</w:t>
        <w:br/>
        <w:br/>
        <w:t>| Category | Amount |</w:t>
        <w:br/>
        <w:t>|---|---|</w:t>
        <w:br/>
        <w:t>| Miscellaneous | ₹360.00 |</w:t>
        <w:br/>
        <w:br/>
        <w:t>**Employee-wise Breakdown of Reimbursable Amounts:**</w:t>
        <w:br/>
        <w:br/>
        <w:t>| Employee ID | Category | Amount |</w:t>
        <w:br/>
        <w:t>|---|---|---|</w:t>
        <w:br/>
        <w:t>| VCGEH-20029 | Miscellaneous | ₹700.00 |</w:t>
        <w:br/>
        <w:br/>
        <w:t>**Employee-wise Breakdown of Non-Reimbursable Amounts:**</w:t>
        <w:br/>
        <w:br/>
        <w:t>| Employee ID | Category | Amount | Violations |</w:t>
        <w:br/>
        <w:t>|---|---|---|---|</w:t>
        <w:br/>
        <w:t>| VCGEH-20029 | Miscellaneous | ₹360.00 | Possible duplicate expense. Breakfast expenses at Villa Contentezza have previously been associated with fraudulent claims. |</w:t>
        <w:br/>
        <w:br/>
        <w:t>**Employee-wise Violations:**</w:t>
        <w:br/>
        <w:br/>
        <w:t>| Employee ID | Violation | Policy |</w:t>
        <w:br/>
        <w:t>|---|---|---|</w:t>
        <w:br/>
        <w:t>| VCGEH-20029 | Possible duplicate expense. Breakfast expenses at Villa Contentezza have previously been associated with fraudulent claims. | Policy not found |</w:t>
        <w:br/>
        <w:br/>
        <w:t>**Compliance Issues and Recommendations:**</w:t>
        <w:br/>
        <w:br/>
        <w:t>* **Possible duplicate expenses:** Breakfast expenses at Villa Contentezza have previously been associated with fraudulent claims. Investigate these expenses thoroughly to determine if they are legitimate.</w:t>
        <w:br/>
        <w:t>* **Missing policy:** No policy was found for the violation related to duplicate expenses. Establish a clear policy that outlines the requirements for expense reporting and reimbursement.</w:t>
        <w:br/>
        <w:t>* **Strengthen internal controls:** Implement measures to prevent and detect expense fraud, such as requiring receipts for all expenses and conducting regular audits.</w:t>
        <w:br/>
        <w:t>* **Train employees:** Educate employees on the company's expense policies and best practices to ensure compliance.</w:t>
        <w:br/>
        <w:t>* **Consider expense management software:** Automate the expense reporting process and provide greater visibility and control over expenses.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