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NMX-07</w:t>
      </w:r>
    </w:p>
    <w:p>
      <w:pPr>
        <w:spacing w:before="0" w:after="160" w:line="252" w:lineRule="auto"/>
      </w:pPr>
      <w:r>
        <w:rPr>
          <w:rFonts w:ascii="Calibri" w:hAnsi="Calibri"/>
          <w:b/>
          <w:i w:val="0"/>
          <w:color w:val="1A2B33"/>
          <w:sz w:val="38"/>
        </w:rPr>
        <w:t>Gestor de Creación de Dietas (UDD 2021 + INTA 2018)</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4 · Dietas y Planificación</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Planificación dietética por equivalentes</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2.0.1</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 11 hojas (~1.517 fórmulas, 1 gráfico, 7 validaciones). Declarado para Microsoft 365 y Excel 2021.</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NMX-07.xlsx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NMX-07 · Gestor de Creación de Dietas (UDD 2021 + INTA 2018)</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4 · Dietas y Planificación</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Planificación dietética por equivalentes</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Convertir una estructura de equivalentes por tiempo de comida en una dieta en gramos reales, con cuadre automático y auditoría teórico vs. real, lista para minuta.</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Estructura: Equivalentes por grupo y tiempo de comida; Alimentación: Selección de alimentos de la base INTA 2018</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Dieta en gramos reales; Auditoría de adecuación; Menú imprimible</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2.0.1</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 11 hojas (~1.517 fórmulas, 1 gráfico, 7 validaciones). Declarado para Microsoft 365 y Excel 2021.</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NMX-07 es el gestor de creación de dietas: toma una estructura de equivalentes UDD 2021 y la convierte a gramos reales usando la composición INTA 2018 (≈642 alimentos) mediante un nutriente marcador por grupo. En las legumbres emplea la proteína como marcador —en lugar de los hidratos de carbono disponibles— para evitar la distorsión por fibra. El libro (11 hojas, ~1.517 fórmulas, 1 gráfico y 7 validaciones) cuadra automáticamente por tiempo de comida, audita el aporte teórico frente al real y entrega una hoja MENU lista para impresión o minuta. La base INTA 2018 es de distribución autorizada por el titular. Es una herramienta educativa, no una prescripción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Convertir una estructura de equivalentes por tiempo de comida en una dieta en gramos reales, con cuadre automático y auditoría teórico vs. real, lista para minuta.</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Definir las porciones por grupo y tiempo de comida.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Convertir equivalentes a gramos reales por nutriente marcador.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Cuadrar y auditar la dieta y generar el menú imprimible.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Personas adultas; conversión de equivalentes UDD 2021 a gramos reales con base INTA 2018 (≈642 alimentos).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Porciones por marcador</w:t>
            </w:r>
          </w:p>
        </w:tc>
        <w:tc>
          <w:tcPr>
            <w:tcW w:type="dxa" w:w="2500"/>
          </w:tcPr>
          <w:p>
            <w:pPr>
              <w:spacing w:before="20" w:after="20"/>
            </w:pPr>
            <w:r>
              <w:rPr>
                <w:rFonts w:ascii="Calibri" w:hAnsi="Calibri"/>
                <w:b w:val="0"/>
                <w:i w:val="0"/>
                <w:color w:val="1A2B33"/>
                <w:sz w:val="18"/>
              </w:rPr>
              <w:t>Convierte equivalentes a gramos por nutriente marcador</w:t>
            </w:r>
          </w:p>
        </w:tc>
        <w:tc>
          <w:tcPr>
            <w:tcW w:type="dxa" w:w="2000"/>
          </w:tcPr>
          <w:p>
            <w:pPr>
              <w:spacing w:before="20" w:after="20"/>
            </w:pPr>
            <w:r>
              <w:rPr>
                <w:rFonts w:ascii="Calibri" w:hAnsi="Calibri"/>
                <w:b w:val="0"/>
                <w:i w:val="0"/>
                <w:color w:val="1A2B33"/>
                <w:sz w:val="18"/>
              </w:rPr>
              <w:t>Equivalentes + alimento</w:t>
            </w:r>
          </w:p>
        </w:tc>
        <w:tc>
          <w:tcPr>
            <w:tcW w:type="dxa" w:w="2160"/>
          </w:tcPr>
          <w:p>
            <w:pPr>
              <w:spacing w:before="20" w:after="20"/>
            </w:pPr>
            <w:r>
              <w:rPr>
                <w:rFonts w:ascii="Calibri" w:hAnsi="Calibri"/>
                <w:b w:val="0"/>
                <w:i w:val="0"/>
                <w:color w:val="1A2B33"/>
                <w:sz w:val="18"/>
              </w:rPr>
              <w:t>Gramos reales por alimento</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Constructor</w:t>
            </w:r>
          </w:p>
        </w:tc>
        <w:tc>
          <w:tcPr>
            <w:tcW w:type="dxa" w:w="2500"/>
            <w:shd w:val="clear" w:color="auto" w:fill="F6F8F8"/>
          </w:tcPr>
          <w:p>
            <w:pPr>
              <w:spacing w:before="20" w:after="20"/>
            </w:pPr>
            <w:r>
              <w:rPr>
                <w:rFonts w:ascii="Calibri" w:hAnsi="Calibri"/>
                <w:b w:val="0"/>
                <w:i w:val="0"/>
                <w:color w:val="1A2B33"/>
                <w:sz w:val="18"/>
              </w:rPr>
              <w:t>Arma la dieta por tiempo de comida</w:t>
            </w:r>
          </w:p>
        </w:tc>
        <w:tc>
          <w:tcPr>
            <w:tcW w:type="dxa" w:w="2000"/>
            <w:shd w:val="clear" w:color="auto" w:fill="F6F8F8"/>
          </w:tcPr>
          <w:p>
            <w:pPr>
              <w:spacing w:before="20" w:after="20"/>
            </w:pPr>
            <w:r>
              <w:rPr>
                <w:rFonts w:ascii="Calibri" w:hAnsi="Calibri"/>
                <w:b w:val="0"/>
                <w:i w:val="0"/>
                <w:color w:val="1A2B33"/>
                <w:sz w:val="18"/>
              </w:rPr>
              <w:t>Porciones seleccionadas</w:t>
            </w:r>
          </w:p>
        </w:tc>
        <w:tc>
          <w:tcPr>
            <w:tcW w:type="dxa" w:w="2160"/>
            <w:shd w:val="clear" w:color="auto" w:fill="F6F8F8"/>
          </w:tcPr>
          <w:p>
            <w:pPr>
              <w:spacing w:before="20" w:after="20"/>
            </w:pPr>
            <w:r>
              <w:rPr>
                <w:rFonts w:ascii="Calibri" w:hAnsi="Calibri"/>
                <w:b w:val="0"/>
                <w:i w:val="0"/>
                <w:color w:val="1A2B33"/>
                <w:sz w:val="18"/>
              </w:rPr>
              <w:t>Dieta estructurada</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Cuadre por comida</w:t>
            </w:r>
          </w:p>
        </w:tc>
        <w:tc>
          <w:tcPr>
            <w:tcW w:type="dxa" w:w="2500"/>
          </w:tcPr>
          <w:p>
            <w:pPr>
              <w:spacing w:before="20" w:after="20"/>
            </w:pPr>
            <w:r>
              <w:rPr>
                <w:rFonts w:ascii="Calibri" w:hAnsi="Calibri"/>
                <w:b w:val="0"/>
                <w:i w:val="0"/>
                <w:color w:val="1A2B33"/>
                <w:sz w:val="18"/>
              </w:rPr>
              <w:t>Ajusta y cuadra los aportes por tiempo</w:t>
            </w:r>
          </w:p>
        </w:tc>
        <w:tc>
          <w:tcPr>
            <w:tcW w:type="dxa" w:w="2000"/>
          </w:tcPr>
          <w:p>
            <w:pPr>
              <w:spacing w:before="20" w:after="20"/>
            </w:pPr>
            <w:r>
              <w:rPr>
                <w:rFonts w:ascii="Calibri" w:hAnsi="Calibri"/>
                <w:b w:val="0"/>
                <w:i w:val="0"/>
                <w:color w:val="1A2B33"/>
                <w:sz w:val="18"/>
              </w:rPr>
              <w:t>Dieta estructurada</w:t>
            </w:r>
          </w:p>
        </w:tc>
        <w:tc>
          <w:tcPr>
            <w:tcW w:type="dxa" w:w="2160"/>
          </w:tcPr>
          <w:p>
            <w:pPr>
              <w:spacing w:before="20" w:after="20"/>
            </w:pPr>
            <w:r>
              <w:rPr>
                <w:rFonts w:ascii="Calibri" w:hAnsi="Calibri"/>
                <w:b w:val="0"/>
                <w:i w:val="0"/>
                <w:color w:val="1A2B33"/>
                <w:sz w:val="18"/>
              </w:rPr>
              <w:t>Dieta cuadrada</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Auditoría teórico/real</w:t>
            </w:r>
          </w:p>
        </w:tc>
        <w:tc>
          <w:tcPr>
            <w:tcW w:type="dxa" w:w="2500"/>
            <w:shd w:val="clear" w:color="auto" w:fill="F6F8F8"/>
          </w:tcPr>
          <w:p>
            <w:pPr>
              <w:spacing w:before="20" w:after="20"/>
            </w:pPr>
            <w:r>
              <w:rPr>
                <w:rFonts w:ascii="Calibri" w:hAnsi="Calibri"/>
                <w:b w:val="0"/>
                <w:i w:val="0"/>
                <w:color w:val="1A2B33"/>
                <w:sz w:val="18"/>
              </w:rPr>
              <w:t>Contrasta aporte teórico vs. real</w:t>
            </w:r>
          </w:p>
        </w:tc>
        <w:tc>
          <w:tcPr>
            <w:tcW w:type="dxa" w:w="2000"/>
            <w:shd w:val="clear" w:color="auto" w:fill="F6F8F8"/>
          </w:tcPr>
          <w:p>
            <w:pPr>
              <w:spacing w:before="20" w:after="20"/>
            </w:pPr>
            <w:r>
              <w:rPr>
                <w:rFonts w:ascii="Calibri" w:hAnsi="Calibri"/>
                <w:b w:val="0"/>
                <w:i w:val="0"/>
                <w:color w:val="1A2B33"/>
                <w:sz w:val="18"/>
              </w:rPr>
              <w:t>Dieta cuadrada</w:t>
            </w:r>
          </w:p>
        </w:tc>
        <w:tc>
          <w:tcPr>
            <w:tcW w:type="dxa" w:w="2160"/>
            <w:shd w:val="clear" w:color="auto" w:fill="F6F8F8"/>
          </w:tcPr>
          <w:p>
            <w:pPr>
              <w:spacing w:before="20" w:after="20"/>
            </w:pPr>
            <w:r>
              <w:rPr>
                <w:rFonts w:ascii="Calibri" w:hAnsi="Calibri"/>
                <w:b w:val="0"/>
                <w:i w:val="0"/>
                <w:color w:val="1A2B33"/>
                <w:sz w:val="18"/>
              </w:rPr>
              <w:t>Auditoría de adecuación</w:t>
            </w:r>
          </w:p>
        </w:tc>
        <w:tc>
          <w:tcPr>
            <w:tcW w:type="dxa" w:w="1200"/>
            <w:shd w:val="clear" w:color="auto" w:fill="F6F8F8"/>
          </w:tcPr>
          <w:p>
            <w:pPr>
              <w:spacing w:before="20" w:after="20"/>
            </w:pPr>
            <w:r>
              <w:rPr>
                <w:rFonts w:ascii="Calibri" w:hAnsi="Calibri"/>
                <w:b w:val="0"/>
                <w:i w:val="0"/>
                <w:color w:val="1A2B33"/>
                <w:sz w:val="18"/>
              </w:rPr>
              <w:t>Avanzado</w:t>
            </w:r>
          </w:p>
        </w:tc>
      </w:tr>
      <w:tr>
        <w:tc>
          <w:tcPr>
            <w:tcW w:type="dxa" w:w="1500"/>
          </w:tcPr>
          <w:p>
            <w:pPr>
              <w:spacing w:before="20" w:after="20"/>
            </w:pPr>
            <w:r>
              <w:rPr>
                <w:rFonts w:ascii="Calibri" w:hAnsi="Calibri"/>
                <w:b w:val="0"/>
                <w:i w:val="0"/>
                <w:color w:val="1A2B33"/>
                <w:sz w:val="18"/>
              </w:rPr>
              <w:t>Menú imprimible</w:t>
            </w:r>
          </w:p>
        </w:tc>
        <w:tc>
          <w:tcPr>
            <w:tcW w:type="dxa" w:w="2500"/>
          </w:tcPr>
          <w:p>
            <w:pPr>
              <w:spacing w:before="20" w:after="20"/>
            </w:pPr>
            <w:r>
              <w:rPr>
                <w:rFonts w:ascii="Calibri" w:hAnsi="Calibri"/>
                <w:b w:val="0"/>
                <w:i w:val="0"/>
                <w:color w:val="1A2B33"/>
                <w:sz w:val="18"/>
              </w:rPr>
              <w:t>Genera la hoja MENU para minuta</w:t>
            </w:r>
          </w:p>
        </w:tc>
        <w:tc>
          <w:tcPr>
            <w:tcW w:type="dxa" w:w="2000"/>
          </w:tcPr>
          <w:p>
            <w:pPr>
              <w:spacing w:before="20" w:after="20"/>
            </w:pPr>
            <w:r>
              <w:rPr>
                <w:rFonts w:ascii="Calibri" w:hAnsi="Calibri"/>
                <w:b w:val="0"/>
                <w:i w:val="0"/>
                <w:color w:val="1A2B33"/>
                <w:sz w:val="18"/>
              </w:rPr>
              <w:t>Dieta final</w:t>
            </w:r>
          </w:p>
        </w:tc>
        <w:tc>
          <w:tcPr>
            <w:tcW w:type="dxa" w:w="2160"/>
          </w:tcPr>
          <w:p>
            <w:pPr>
              <w:spacing w:before="20" w:after="20"/>
            </w:pPr>
            <w:r>
              <w:rPr>
                <w:rFonts w:ascii="Calibri" w:hAnsi="Calibri"/>
                <w:b w:val="0"/>
                <w:i w:val="0"/>
                <w:color w:val="1A2B33"/>
                <w:sz w:val="18"/>
              </w:rPr>
              <w:t>Menú listo para imprimir</w:t>
            </w:r>
          </w:p>
        </w:tc>
        <w:tc>
          <w:tcPr>
            <w:tcW w:type="dxa" w:w="1200"/>
          </w:tcPr>
          <w:p>
            <w:pPr>
              <w:spacing w:before="20" w:after="20"/>
            </w:pPr>
            <w:r>
              <w:rPr>
                <w:rFonts w:ascii="Calibri" w:hAnsi="Calibri"/>
                <w:b w:val="0"/>
                <w:i w:val="0"/>
                <w:color w:val="1A2B33"/>
                <w:sz w:val="18"/>
              </w:rPr>
              <w:t>Básico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Estructura</w:t>
      </w:r>
    </w:p>
    <w:p>
      <w:pPr>
        <w:spacing w:before="40" w:after="60" w:line="276" w:lineRule="auto"/>
      </w:pPr>
      <w:r>
        <w:rPr>
          <w:rFonts w:ascii="Calibri" w:hAnsi="Calibri"/>
          <w:b w:val="0"/>
          <w:i w:val="0"/>
          <w:color w:val="1A2B33"/>
          <w:sz w:val="19"/>
        </w:rPr>
        <w:t>Equivalentes por grupo y tiempo de comida</w:t>
      </w: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Selección de alimentos de la base INTA 2018</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Dieta en gramos reales</w:t>
            </w:r>
          </w:p>
        </w:tc>
        <w:tc>
          <w:tcPr>
            <w:tcW w:type="dxa" w:w="1700"/>
          </w:tcPr>
          <w:p>
            <w:pPr>
              <w:spacing w:before="20" w:after="20"/>
            </w:pPr>
            <w:r>
              <w:rPr>
                <w:rFonts w:ascii="Calibri" w:hAnsi="Calibri"/>
                <w:b w:val="0"/>
                <w:i w:val="0"/>
                <w:color w:val="1A2B33"/>
                <w:sz w:val="18"/>
              </w:rPr>
              <w:t>TABLA</w:t>
            </w:r>
          </w:p>
        </w:tc>
        <w:tc>
          <w:tcPr>
            <w:tcW w:type="dxa" w:w="1560"/>
          </w:tcPr>
          <w:p>
            <w:pPr>
              <w:spacing w:before="20" w:after="20"/>
            </w:pPr>
            <w:r>
              <w:rPr>
                <w:rFonts w:ascii="Calibri" w:hAnsi="Calibri"/>
                <w:b w:val="0"/>
                <w:i w:val="0"/>
                <w:color w:val="1A2B33"/>
                <w:sz w:val="18"/>
              </w:rPr>
              <w:t>g por alimento</w:t>
            </w:r>
          </w:p>
        </w:tc>
        <w:tc>
          <w:tcPr>
            <w:tcW w:type="dxa" w:w="3100"/>
          </w:tcPr>
          <w:p>
            <w:pPr>
              <w:spacing w:before="20" w:after="20"/>
            </w:pPr>
            <w:r>
              <w:rPr>
                <w:rFonts w:ascii="Calibri" w:hAnsi="Calibri"/>
                <w:b w:val="0"/>
                <w:i w:val="0"/>
                <w:color w:val="1A2B33"/>
                <w:sz w:val="18"/>
              </w:rPr>
              <w:t>Depende de los equivalentes y la base</w:t>
            </w:r>
          </w:p>
        </w:tc>
      </w:tr>
      <w:tr>
        <w:tc>
          <w:tcPr>
            <w:tcW w:type="dxa" w:w="3000"/>
            <w:shd w:val="clear" w:color="auto" w:fill="F6F8F8"/>
          </w:tcPr>
          <w:p>
            <w:pPr>
              <w:spacing w:before="20" w:after="20"/>
            </w:pPr>
            <w:r>
              <w:rPr>
                <w:rFonts w:ascii="Calibri" w:hAnsi="Calibri"/>
                <w:b w:val="0"/>
                <w:i w:val="0"/>
                <w:color w:val="1A2B33"/>
                <w:sz w:val="18"/>
              </w:rPr>
              <w:t>Auditoría de adecuación</w:t>
            </w:r>
          </w:p>
        </w:tc>
        <w:tc>
          <w:tcPr>
            <w:tcW w:type="dxa" w:w="1700"/>
            <w:shd w:val="clear" w:color="auto" w:fill="F6F8F8"/>
          </w:tcPr>
          <w:p>
            <w:pPr>
              <w:spacing w:before="20" w:after="20"/>
            </w:pPr>
            <w:r>
              <w:rPr>
                <w:rFonts w:ascii="Calibri" w:hAnsi="Calibri"/>
                <w:b w:val="0"/>
                <w:i w:val="0"/>
                <w:color w:val="1A2B33"/>
                <w:sz w:val="18"/>
              </w:rPr>
              <w:t>COMPARACIÓN</w:t>
            </w:r>
          </w:p>
        </w:tc>
        <w:tc>
          <w:tcPr>
            <w:tcW w:type="dxa" w:w="1560"/>
            <w:shd w:val="clear" w:color="auto" w:fill="F6F8F8"/>
          </w:tcPr>
          <w:p>
            <w:pPr>
              <w:spacing w:before="20" w:after="20"/>
            </w:pPr>
            <w:r>
              <w:rPr>
                <w:rFonts w:ascii="Calibri" w:hAnsi="Calibri"/>
                <w:b w:val="0"/>
                <w:i w:val="0"/>
                <w:color w:val="1A2B33"/>
                <w:sz w:val="18"/>
              </w:rPr>
              <w:t>teórico vs. real</w:t>
            </w:r>
          </w:p>
        </w:tc>
        <w:tc>
          <w:tcPr>
            <w:tcW w:type="dxa" w:w="3100"/>
            <w:shd w:val="clear" w:color="auto" w:fill="F6F8F8"/>
          </w:tcPr>
          <w:p>
            <w:pPr>
              <w:spacing w:before="20" w:after="20"/>
            </w:pPr>
            <w:r>
              <w:rPr>
                <w:rFonts w:ascii="Calibri" w:hAnsi="Calibri"/>
                <w:b w:val="0"/>
                <w:i w:val="0"/>
                <w:color w:val="1A2B33"/>
                <w:sz w:val="18"/>
              </w:rPr>
              <w:t>Depende de la dieta</w:t>
            </w:r>
          </w:p>
        </w:tc>
      </w:tr>
      <w:tr>
        <w:tc>
          <w:tcPr>
            <w:tcW w:type="dxa" w:w="3000"/>
          </w:tcPr>
          <w:p>
            <w:pPr>
              <w:spacing w:before="20" w:after="20"/>
            </w:pPr>
            <w:r>
              <w:rPr>
                <w:rFonts w:ascii="Calibri" w:hAnsi="Calibri"/>
                <w:b w:val="0"/>
                <w:i w:val="0"/>
                <w:color w:val="1A2B33"/>
                <w:sz w:val="18"/>
              </w:rPr>
              <w:t>Menú imprimible</w:t>
            </w:r>
          </w:p>
        </w:tc>
        <w:tc>
          <w:tcPr>
            <w:tcW w:type="dxa" w:w="1700"/>
          </w:tcPr>
          <w:p>
            <w:pPr>
              <w:spacing w:before="20" w:after="20"/>
            </w:pPr>
            <w:r>
              <w:rPr>
                <w:rFonts w:ascii="Calibri" w:hAnsi="Calibri"/>
                <w:b w:val="0"/>
                <w:i w:val="0"/>
                <w:color w:val="1A2B33"/>
                <w:sz w:val="18"/>
              </w:rPr>
              <w:t>MENÚ</w:t>
            </w:r>
          </w:p>
        </w:tc>
        <w:tc>
          <w:tcPr>
            <w:tcW w:type="dxa" w:w="1560"/>
          </w:tcPr>
          <w:p>
            <w:pPr>
              <w:spacing w:before="20" w:after="20"/>
            </w:pPr>
            <w:r>
              <w:rPr>
                <w:rFonts w:ascii="Calibri" w:hAnsi="Calibri"/>
                <w:b w:val="0"/>
                <w:i w:val="0"/>
                <w:color w:val="1A2B33"/>
                <w:sz w:val="18"/>
              </w:rPr>
              <w:t>porciones/gramos</w:t>
            </w:r>
          </w:p>
        </w:tc>
        <w:tc>
          <w:tcPr>
            <w:tcW w:type="dxa" w:w="3100"/>
          </w:tcPr>
          <w:p>
            <w:pPr>
              <w:spacing w:before="20" w:after="20"/>
            </w:pPr>
            <w:r>
              <w:rPr>
                <w:rFonts w:ascii="Calibri" w:hAnsi="Calibri"/>
                <w:b w:val="0"/>
                <w:i w:val="0"/>
                <w:color w:val="1A2B33"/>
                <w:sz w:val="18"/>
              </w:rPr>
              <w:t>Depende de la dieta final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PORCIONES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CONSTRUCTOR</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MENU</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DATOS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PORCIONES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MENU</w:t>
            </w:r>
          </w:p>
        </w:tc>
        <w:tc>
          <w:tcPr>
            <w:tcW w:type="dxa" w:w="5760"/>
            <w:shd w:val="clear" w:color="auto" w:fill="F6F8F8"/>
          </w:tcPr>
          <w:p>
            <w:pPr>
              <w:spacing w:before="20" w:after="20"/>
            </w:pPr>
            <w:r>
              <w:rPr>
                <w:rFonts w:ascii="Calibri" w:hAnsi="Calibri"/>
                <w:b w:val="0"/>
                <w:i w:val="0"/>
                <w:color w:val="1A2B33"/>
                <w:sz w:val="18"/>
              </w:rPr>
              <w:t>INFORME</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11 hojas (11 visibles y 0 ocultas o auxiliares). Incorpora aproximadamente 1517 fórmulas, 1 gráficos, 0 tablas estructuradas y 7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Estructura ficticia de equivalentes por tiempo de comida.</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seleccionan alimentos de la base INTA 2018.</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convierte a gramos por marcador y cuadra por comida.</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auditoría teórico/real confirma la adecuación y se imprime el menú.</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DECISIÓN_DE_INGENIERÍA</w:t>
            </w:r>
          </w:p>
        </w:tc>
        <w:tc>
          <w:tcPr>
            <w:tcW w:type="dxa" w:w="2600"/>
          </w:tcPr>
          <w:p>
            <w:pPr>
              <w:spacing w:before="20" w:after="20"/>
            </w:pPr>
            <w:r>
              <w:rPr>
                <w:rFonts w:ascii="Calibri" w:hAnsi="Calibri"/>
                <w:b w:val="0"/>
                <w:i w:val="0"/>
                <w:color w:val="1A2B33"/>
                <w:sz w:val="18"/>
              </w:rPr>
              <w:t>Nutriente marcador por grupo para convertir equivalentes a gramos</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Conversión a gramos</w:t>
            </w:r>
          </w:p>
        </w:tc>
        <w:tc>
          <w:tcPr>
            <w:tcW w:type="dxa" w:w="2000"/>
          </w:tcPr>
          <w:p>
            <w:pPr>
              <w:spacing w:before="20" w:after="20"/>
            </w:pPr>
            <w:r>
              <w:rPr>
                <w:rFonts w:ascii="Calibri" w:hAnsi="Calibri"/>
                <w:b w:val="0"/>
                <w:i w:val="0"/>
                <w:color w:val="1A2B33"/>
                <w:sz w:val="18"/>
              </w:rPr>
              <w:t>Aproximación por marcador</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En legumbres, proteína como marcador (evita distorsión por fibra)</w:t>
            </w:r>
          </w:p>
        </w:tc>
        <w:tc>
          <w:tcPr>
            <w:tcW w:type="dxa" w:w="1500"/>
            <w:shd w:val="clear" w:color="auto" w:fill="F6F8F8"/>
          </w:tcPr>
          <w:p>
            <w:pPr>
              <w:spacing w:before="20" w:after="20"/>
            </w:pPr>
            <w:r>
              <w:rPr>
                <w:rFonts w:ascii="Calibri" w:hAnsi="Calibri"/>
                <w:b w:val="0"/>
                <w:i w:val="0"/>
                <w:color w:val="1A2B33"/>
                <w:sz w:val="18"/>
              </w:rPr>
              <w:t>Adultos</w:t>
            </w:r>
          </w:p>
        </w:tc>
        <w:tc>
          <w:tcPr>
            <w:tcW w:type="dxa" w:w="1760"/>
            <w:shd w:val="clear" w:color="auto" w:fill="F6F8F8"/>
          </w:tcPr>
          <w:p>
            <w:pPr>
              <w:spacing w:before="20" w:after="20"/>
            </w:pPr>
            <w:r>
              <w:rPr>
                <w:rFonts w:ascii="Calibri" w:hAnsi="Calibri"/>
                <w:b w:val="0"/>
                <w:i w:val="0"/>
                <w:color w:val="1A2B33"/>
                <w:sz w:val="18"/>
              </w:rPr>
              <w:t>Cuadre de legumbres</w:t>
            </w:r>
          </w:p>
        </w:tc>
        <w:tc>
          <w:tcPr>
            <w:tcW w:type="dxa" w:w="2000"/>
            <w:shd w:val="clear" w:color="auto" w:fill="F6F8F8"/>
          </w:tcPr>
          <w:p>
            <w:pPr>
              <w:spacing w:before="20" w:after="20"/>
            </w:pPr>
            <w:r>
              <w:rPr>
                <w:rFonts w:ascii="Calibri" w:hAnsi="Calibri"/>
                <w:b w:val="0"/>
                <w:i w:val="0"/>
                <w:color w:val="1A2B33"/>
                <w:sz w:val="18"/>
              </w:rPr>
              <w:t>Criterio explícito</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Sistema de equivalentes UDD 2021 + composición INTA 2018</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Aportes de la dieta</w:t>
            </w:r>
          </w:p>
        </w:tc>
        <w:tc>
          <w:tcPr>
            <w:tcW w:type="dxa" w:w="2000"/>
          </w:tcPr>
          <w:p>
            <w:pPr>
              <w:spacing w:before="20" w:after="20"/>
            </w:pPr>
            <w:r>
              <w:rPr>
                <w:rFonts w:ascii="Calibri" w:hAnsi="Calibri"/>
                <w:b w:val="0"/>
                <w:i w:val="0"/>
                <w:color w:val="1A2B33"/>
                <w:sz w:val="18"/>
              </w:rPr>
              <w:t>Interpretación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Ratner R. y cols.</w:t>
            </w:r>
          </w:p>
        </w:tc>
        <w:tc>
          <w:tcPr>
            <w:tcW w:type="dxa" w:w="2600"/>
          </w:tcPr>
          <w:p>
            <w:pPr>
              <w:spacing w:before="20" w:after="20"/>
            </w:pPr>
            <w:r>
              <w:rPr>
                <w:rFonts w:ascii="Calibri" w:hAnsi="Calibri"/>
                <w:b w:val="0"/>
                <w:i w:val="0"/>
                <w:color w:val="1A2B33"/>
                <w:sz w:val="17"/>
              </w:rPr>
              <w:t>Sistema de intercambios UDD 2021</w:t>
            </w:r>
          </w:p>
        </w:tc>
        <w:tc>
          <w:tcPr>
            <w:tcW w:type="dxa" w:w="700"/>
          </w:tcPr>
          <w:p>
            <w:pPr>
              <w:spacing w:before="20" w:after="20"/>
            </w:pPr>
            <w:r>
              <w:rPr>
                <w:rFonts w:ascii="Calibri" w:hAnsi="Calibri"/>
                <w:b w:val="0"/>
                <w:i w:val="0"/>
                <w:color w:val="1A2B33"/>
                <w:sz w:val="17"/>
              </w:rPr>
              <w:t>2021</w:t>
            </w:r>
          </w:p>
        </w:tc>
        <w:tc>
          <w:tcPr>
            <w:tcW w:type="dxa" w:w="2160"/>
          </w:tcPr>
          <w:p>
            <w:pPr>
              <w:spacing w:before="20" w:after="20"/>
            </w:pPr>
            <w:r>
              <w:rPr>
                <w:rFonts w:ascii="Calibri" w:hAnsi="Calibri"/>
                <w:b w:val="0"/>
                <w:i w:val="0"/>
                <w:color w:val="1A2B33"/>
                <w:sz w:val="17"/>
              </w:rPr>
              <w:t>Estructura de equivalentes</w:t>
            </w:r>
          </w:p>
        </w:tc>
        <w:tc>
          <w:tcPr>
            <w:tcW w:type="dxa" w:w="1700"/>
          </w:tcPr>
          <w:p>
            <w:pPr>
              <w:spacing w:before="20" w:after="20"/>
            </w:pPr>
            <w:r>
              <w:rPr>
                <w:rFonts w:ascii="Calibri" w:hAnsi="Calibri"/>
                <w:b w:val="0"/>
                <w:i w:val="0"/>
                <w:color w:val="1A2B33"/>
                <w:sz w:val="17"/>
              </w:rPr>
              <w:t>FUENTE_PRIMARIA</w:t>
            </w:r>
          </w:p>
        </w:tc>
      </w:tr>
      <w:tr>
        <w:tc>
          <w:tcPr>
            <w:tcW w:type="dxa" w:w="2200"/>
            <w:shd w:val="clear" w:color="auto" w:fill="F6F8F8"/>
          </w:tcPr>
          <w:p>
            <w:pPr>
              <w:spacing w:before="20" w:after="20"/>
            </w:pPr>
            <w:r>
              <w:rPr>
                <w:rFonts w:ascii="Calibri" w:hAnsi="Calibri"/>
                <w:b w:val="0"/>
                <w:i w:val="0"/>
                <w:color w:val="1A2B33"/>
                <w:sz w:val="17"/>
              </w:rPr>
              <w:t>INTA, U. de Chile</w:t>
            </w:r>
          </w:p>
        </w:tc>
        <w:tc>
          <w:tcPr>
            <w:tcW w:type="dxa" w:w="2600"/>
            <w:shd w:val="clear" w:color="auto" w:fill="F6F8F8"/>
          </w:tcPr>
          <w:p>
            <w:pPr>
              <w:spacing w:before="20" w:after="20"/>
            </w:pPr>
            <w:r>
              <w:rPr>
                <w:rFonts w:ascii="Calibri" w:hAnsi="Calibri"/>
                <w:b w:val="0"/>
                <w:i w:val="0"/>
                <w:color w:val="1A2B33"/>
                <w:sz w:val="17"/>
              </w:rPr>
              <w:t>Tabla de Composición de Alimentos</w:t>
            </w:r>
          </w:p>
        </w:tc>
        <w:tc>
          <w:tcPr>
            <w:tcW w:type="dxa" w:w="700"/>
            <w:shd w:val="clear" w:color="auto" w:fill="F6F8F8"/>
          </w:tcPr>
          <w:p>
            <w:pPr>
              <w:spacing w:before="20" w:after="20"/>
            </w:pPr>
            <w:r>
              <w:rPr>
                <w:rFonts w:ascii="Calibri" w:hAnsi="Calibri"/>
                <w:b w:val="0"/>
                <w:i w:val="0"/>
                <w:color w:val="1A2B33"/>
                <w:sz w:val="17"/>
              </w:rPr>
              <w:t>2018</w:t>
            </w:r>
          </w:p>
        </w:tc>
        <w:tc>
          <w:tcPr>
            <w:tcW w:type="dxa" w:w="2160"/>
            <w:shd w:val="clear" w:color="auto" w:fill="F6F8F8"/>
          </w:tcPr>
          <w:p>
            <w:pPr>
              <w:spacing w:before="20" w:after="20"/>
            </w:pPr>
            <w:r>
              <w:rPr>
                <w:rFonts w:ascii="Calibri" w:hAnsi="Calibri"/>
                <w:b w:val="0"/>
                <w:i w:val="0"/>
                <w:color w:val="1A2B33"/>
                <w:sz w:val="17"/>
              </w:rPr>
              <w:t>Conversión a gramos</w:t>
            </w:r>
          </w:p>
        </w:tc>
        <w:tc>
          <w:tcPr>
            <w:tcW w:type="dxa" w:w="1700"/>
            <w:shd w:val="clear" w:color="auto" w:fill="F6F8F8"/>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Herramienta educativa; no valida clínicamente ni prescribe. La conversión por nutriente marcador es una aproximación. Los aportes dependen de la base y de la exactitud de las porciones. Base INTA 2018 de distribución autorizada por el titular. Exactitud matemática ≠ validación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NMX-02 · Tabla Dietosintética Semanal (Sistema Chileno UDD 2021)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NMX-25 · Constructor de Platillos Basado en Equivalentes Autorizados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NMX-21 · Distribución Alimentaria (INTA 2018 · 34 Nutrientes y DRI)</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NMX-17 · Recordatorio de 24 Horas Conectado a Equivalentes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NMX-07</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NMX-07.xlsx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2.0.1</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NMX-07 · Gestor de Creación de Dietas (UDD 2021 + INTA 2018)</w:t>
            </w:r>
          </w:p>
          <w:p>
            <w:pPr>
              <w:spacing w:before="80" w:after="0"/>
              <w:jc w:val="center"/>
            </w:pPr>
            <w:r>
              <w:rPr>
                <w:rFonts w:ascii="Calibri" w:hAnsi="Calibri"/>
                <w:b w:val="0"/>
                <w:i w:val="0"/>
                <w:color w:val="EDF2F1"/>
                <w:sz w:val="20"/>
              </w:rPr>
              <w:t>Fase 4 · Dietas y Planificación · 2.0.1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 xml:space="preserve">NMX-07 · Gestor de Creación de Dietas (UDD 2021 + INTA </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