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NMX-01</w:t>
      </w:r>
    </w:p>
    <w:p>
      <w:pPr>
        <w:spacing w:before="0" w:after="160" w:line="252" w:lineRule="auto"/>
      </w:pPr>
      <w:r>
        <w:rPr>
          <w:rFonts w:ascii="Calibri" w:hAnsi="Calibri"/>
          <w:b/>
          <w:i w:val="0"/>
          <w:color w:val="1A2B33"/>
          <w:sz w:val="38"/>
        </w:rPr>
        <w:t>Calculadora Energética (Necesidades Energéticas)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1 · Motores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Motor de cálculo energético</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(Windows)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NMX-01_Necesidades_Energeticas_DEFINITIVO_2026.xlsx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NMX-01 · Calculadora Energética (Necesidades Energéticas)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1 · Motores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Motor de cálculo energético</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Estimar necesidades energéticas y el Nivel de Actividad Física (PAL) de forma trazable, con auditoría de operaciones y evidencia bibliográfica anclada por nivel de verificación.</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Peso, Talla; Actividad física: Nivel/actividades para el PAL (hoja ACTIVIDADES)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Requerimiento energético; Nivel de Actividad Física (PAL); Trazabilidad de evidencia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(Windows)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NMX-01 es el motor energético de la suite. A partir de datos antropométricos y de actividad calcula el requerimiento energético y clasifica el Nivel de Actividad Física (PAL). Incorpora tres bases metabólicas propias (adulto, adulto mayor y usuarios de silla de ruedas, año 2024) y una hoja FUENTES con clasificación de evidencia por niveles A/B/C. Su hoja AUDITORIA permite revisar las operaciones internas del motor, lo que lo hace útil como pieza docente para explicar de dónde sale cada número. Se ubica en la Fase 1 (Motores) y alimenta conceptualmente a herramientas de evaluación y planificación posteriores.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Estimar necesidades energéticas y el Nivel de Actividad Física (PAL) de forma trazable, con auditoría de operaciones y evidencia bibliográfica anclada por nivel de verificación.</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datos antropométricos y de actividad y obtener el gasto energético.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Auditar cada operación del motor con la hoja CALCULOS/AUDITORIA.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trazabilidad de cada ecuación y su nivel A/B/C en FUENTES.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Personas adultas; incluye bases metabólicas para adulto, adulto mayor y usuarios de silla de ruedas (BASE_MET_ADULT_2024, OLDER_2024, WHEELCHAIR_2024).</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Cálculo energético</w:t>
            </w:r>
          </w:p>
        </w:tc>
        <w:tc>
          <w:tcPr>
            <w:tcW w:type="dxa" w:w="2500"/>
          </w:tcPr>
          <w:p>
            <w:pPr>
              <w:spacing w:before="20" w:after="20"/>
            </w:pPr>
            <w:r>
              <w:rPr>
                <w:rFonts w:ascii="Calibri" w:hAnsi="Calibri"/>
                <w:b w:val="0"/>
                <w:i w:val="0"/>
                <w:color w:val="1A2B33"/>
                <w:sz w:val="18"/>
              </w:rPr>
              <w:t>Estima requerimiento energético a partir de los datos ingresados</w:t>
            </w:r>
          </w:p>
        </w:tc>
        <w:tc>
          <w:tcPr>
            <w:tcW w:type="dxa" w:w="2000"/>
          </w:tcPr>
          <w:p>
            <w:pPr>
              <w:spacing w:before="20" w:after="20"/>
            </w:pPr>
            <w:r>
              <w:rPr>
                <w:rFonts w:ascii="Calibri" w:hAnsi="Calibri"/>
                <w:b w:val="0"/>
                <w:i w:val="0"/>
                <w:color w:val="1A2B33"/>
                <w:sz w:val="18"/>
              </w:rPr>
              <w:t>Sexo, edad, peso, talla, actividad</w:t>
            </w:r>
          </w:p>
        </w:tc>
        <w:tc>
          <w:tcPr>
            <w:tcW w:type="dxa" w:w="2160"/>
          </w:tcPr>
          <w:p>
            <w:pPr>
              <w:spacing w:before="20" w:after="20"/>
            </w:pPr>
            <w:r>
              <w:rPr>
                <w:rFonts w:ascii="Calibri" w:hAnsi="Calibri"/>
                <w:b w:val="0"/>
                <w:i w:val="0"/>
                <w:color w:val="1A2B33"/>
                <w:sz w:val="18"/>
              </w:rPr>
              <w:t>Requerimiento energético (kcal/día)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Clasificación PAL</w:t>
            </w:r>
          </w:p>
        </w:tc>
        <w:tc>
          <w:tcPr>
            <w:tcW w:type="dxa" w:w="2500"/>
            <w:shd w:val="clear" w:color="auto" w:fill="F6F8F8"/>
          </w:tcPr>
          <w:p>
            <w:pPr>
              <w:spacing w:before="20" w:after="20"/>
            </w:pPr>
            <w:r>
              <w:rPr>
                <w:rFonts w:ascii="Calibri" w:hAnsi="Calibri"/>
                <w:b w:val="0"/>
                <w:i w:val="0"/>
                <w:color w:val="1A2B33"/>
                <w:sz w:val="18"/>
              </w:rPr>
              <w:t>Determina el Nivel de Actividad Física</w:t>
            </w:r>
          </w:p>
        </w:tc>
        <w:tc>
          <w:tcPr>
            <w:tcW w:type="dxa" w:w="2000"/>
            <w:shd w:val="clear" w:color="auto" w:fill="F6F8F8"/>
          </w:tcPr>
          <w:p>
            <w:pPr>
              <w:spacing w:before="20" w:after="20"/>
            </w:pPr>
            <w:r>
              <w:rPr>
                <w:rFonts w:ascii="Calibri" w:hAnsi="Calibri"/>
                <w:b w:val="0"/>
                <w:i w:val="0"/>
                <w:color w:val="1A2B33"/>
                <w:sz w:val="18"/>
              </w:rPr>
              <w:t>Actividades registradas</w:t>
            </w:r>
          </w:p>
        </w:tc>
        <w:tc>
          <w:tcPr>
            <w:tcW w:type="dxa" w:w="2160"/>
            <w:shd w:val="clear" w:color="auto" w:fill="F6F8F8"/>
          </w:tcPr>
          <w:p>
            <w:pPr>
              <w:spacing w:before="20" w:after="20"/>
            </w:pPr>
            <w:r>
              <w:rPr>
                <w:rFonts w:ascii="Calibri" w:hAnsi="Calibri"/>
                <w:b w:val="0"/>
                <w:i w:val="0"/>
                <w:color w:val="1A2B33"/>
                <w:sz w:val="18"/>
              </w:rPr>
              <w:t>PAL (adimensional) y categoría</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Auditoría de operaciones</w:t>
            </w:r>
          </w:p>
        </w:tc>
        <w:tc>
          <w:tcPr>
            <w:tcW w:type="dxa" w:w="2500"/>
          </w:tcPr>
          <w:p>
            <w:pPr>
              <w:spacing w:before="20" w:after="20"/>
            </w:pPr>
            <w:r>
              <w:rPr>
                <w:rFonts w:ascii="Calibri" w:hAnsi="Calibri"/>
                <w:b w:val="0"/>
                <w:i w:val="0"/>
                <w:color w:val="1A2B33"/>
                <w:sz w:val="18"/>
              </w:rPr>
              <w:t>Muestra el desglose interno del cálculo</w:t>
            </w:r>
          </w:p>
        </w:tc>
        <w:tc>
          <w:tcPr>
            <w:tcW w:type="dxa" w:w="2000"/>
          </w:tcPr>
          <w:p>
            <w:pPr>
              <w:spacing w:before="20" w:after="20"/>
            </w:pPr>
            <w:r>
              <w:rPr>
                <w:rFonts w:ascii="Calibri" w:hAnsi="Calibri"/>
                <w:b w:val="0"/>
                <w:i w:val="0"/>
                <w:color w:val="1A2B33"/>
                <w:sz w:val="18"/>
              </w:rPr>
              <w:t>Datos ingresados</w:t>
            </w:r>
          </w:p>
        </w:tc>
        <w:tc>
          <w:tcPr>
            <w:tcW w:type="dxa" w:w="2160"/>
          </w:tcPr>
          <w:p>
            <w:pPr>
              <w:spacing w:before="20" w:after="20"/>
            </w:pPr>
            <w:r>
              <w:rPr>
                <w:rFonts w:ascii="Calibri" w:hAnsi="Calibri"/>
                <w:b w:val="0"/>
                <w:i w:val="0"/>
                <w:color w:val="1A2B33"/>
                <w:sz w:val="18"/>
              </w:rPr>
              <w:t>Trazabilidad numérica del motor</w:t>
            </w:r>
          </w:p>
        </w:tc>
        <w:tc>
          <w:tcPr>
            <w:tcW w:type="dxa" w:w="1200"/>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 Peso, Talla</w:t>
      </w:r>
    </w:p>
    <w:p>
      <w:pPr>
        <w:spacing w:before="60" w:after="20" w:line="276" w:lineRule="auto"/>
      </w:pPr>
      <w:r>
        <w:rPr>
          <w:rFonts w:ascii="Calibri" w:hAnsi="Calibri"/>
          <w:b/>
          <w:i w:val="0"/>
          <w:color w:val="0A3E3A"/>
          <w:sz w:val="20"/>
        </w:rPr>
        <w:t>Actividad física</w:t>
      </w:r>
    </w:p>
    <w:p>
      <w:pPr>
        <w:spacing w:before="40" w:after="60" w:line="276" w:lineRule="auto"/>
      </w:pPr>
      <w:r>
        <w:rPr>
          <w:rFonts w:ascii="Calibri" w:hAnsi="Calibri"/>
          <w:b w:val="0"/>
          <w:i w:val="0"/>
          <w:color w:val="1A2B33"/>
          <w:sz w:val="19"/>
        </w:rPr>
        <w:t>Nivel/actividades para el PAL (hoja ACTIVIDADES)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Requerimiento energético</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kcal/día</w:t>
            </w:r>
          </w:p>
        </w:tc>
        <w:tc>
          <w:tcPr>
            <w:tcW w:type="dxa" w:w="3100"/>
          </w:tcPr>
          <w:p>
            <w:pPr>
              <w:spacing w:before="20" w:after="20"/>
            </w:pPr>
            <w:r>
              <w:rPr>
                <w:rFonts w:ascii="Calibri" w:hAnsi="Calibri"/>
                <w:b w:val="0"/>
                <w:i w:val="0"/>
                <w:color w:val="1A2B33"/>
                <w:sz w:val="18"/>
              </w:rPr>
              <w:t>Depende de datos antropométricos y PAL</w:t>
            </w:r>
          </w:p>
        </w:tc>
      </w:tr>
      <w:tr>
        <w:tc>
          <w:tcPr>
            <w:tcW w:type="dxa" w:w="3000"/>
            <w:shd w:val="clear" w:color="auto" w:fill="F6F8F8"/>
          </w:tcPr>
          <w:p>
            <w:pPr>
              <w:spacing w:before="20" w:after="20"/>
            </w:pPr>
            <w:r>
              <w:rPr>
                <w:rFonts w:ascii="Calibri" w:hAnsi="Calibri"/>
                <w:b w:val="0"/>
                <w:i w:val="0"/>
                <w:color w:val="1A2B33"/>
                <w:sz w:val="18"/>
              </w:rPr>
              <w:t>Nivel de Actividad Física (PAL)</w:t>
            </w:r>
          </w:p>
        </w:tc>
        <w:tc>
          <w:tcPr>
            <w:tcW w:type="dxa" w:w="1700"/>
            <w:shd w:val="clear" w:color="auto" w:fill="F6F8F8"/>
          </w:tcPr>
          <w:p>
            <w:pPr>
              <w:spacing w:before="20" w:after="20"/>
            </w:pPr>
            <w:r>
              <w:rPr>
                <w:rFonts w:ascii="Calibri" w:hAnsi="Calibri"/>
                <w:b w:val="0"/>
                <w:i w:val="0"/>
                <w:color w:val="1A2B33"/>
                <w:sz w:val="18"/>
              </w:rPr>
              <w:t>INDICADOR</w:t>
            </w:r>
          </w:p>
        </w:tc>
        <w:tc>
          <w:tcPr>
            <w:tcW w:type="dxa" w:w="1560"/>
            <w:shd w:val="clear" w:color="auto" w:fill="F6F8F8"/>
          </w:tcPr>
          <w:p>
            <w:pPr>
              <w:spacing w:before="20" w:after="20"/>
            </w:pPr>
            <w:r>
              <w:rPr>
                <w:rFonts w:ascii="Calibri" w:hAnsi="Calibri"/>
                <w:b w:val="0"/>
                <w:i w:val="0"/>
                <w:color w:val="1A2B33"/>
                <w:sz w:val="18"/>
              </w:rPr>
              <w:t>adimensional</w:t>
            </w:r>
          </w:p>
        </w:tc>
        <w:tc>
          <w:tcPr>
            <w:tcW w:type="dxa" w:w="3100"/>
            <w:shd w:val="clear" w:color="auto" w:fill="F6F8F8"/>
          </w:tcPr>
          <w:p>
            <w:pPr>
              <w:spacing w:before="20" w:after="20"/>
            </w:pPr>
            <w:r>
              <w:rPr>
                <w:rFonts w:ascii="Calibri" w:hAnsi="Calibri"/>
                <w:b w:val="0"/>
                <w:i w:val="0"/>
                <w:color w:val="1A2B33"/>
                <w:sz w:val="18"/>
              </w:rPr>
              <w:t>Depende de las actividades registradas</w:t>
            </w:r>
          </w:p>
        </w:tc>
      </w:tr>
      <w:tr>
        <w:tc>
          <w:tcPr>
            <w:tcW w:type="dxa" w:w="3000"/>
          </w:tcPr>
          <w:p>
            <w:pPr>
              <w:spacing w:before="20" w:after="20"/>
            </w:pPr>
            <w:r>
              <w:rPr>
                <w:rFonts w:ascii="Calibri" w:hAnsi="Calibri"/>
                <w:b w:val="0"/>
                <w:i w:val="0"/>
                <w:color w:val="1A2B33"/>
                <w:sz w:val="18"/>
              </w:rPr>
              <w:t>Trazabilidad de evidencia</w:t>
            </w:r>
          </w:p>
        </w:tc>
        <w:tc>
          <w:tcPr>
            <w:tcW w:type="dxa" w:w="1700"/>
          </w:tcPr>
          <w:p>
            <w:pPr>
              <w:spacing w:before="20" w:after="20"/>
            </w:pPr>
            <w:r>
              <w:rPr>
                <w:rFonts w:ascii="Calibri" w:hAnsi="Calibri"/>
                <w:b w:val="0"/>
                <w:i w:val="0"/>
                <w:color w:val="1A2B33"/>
                <w:sz w:val="18"/>
              </w:rPr>
              <w:t>REGISTRO</w:t>
            </w:r>
          </w:p>
        </w:tc>
        <w:tc>
          <w:tcPr>
            <w:tcW w:type="dxa" w:w="1560"/>
          </w:tcPr>
          <w:p>
            <w:pPr>
              <w:spacing w:before="20" w:after="20"/>
            </w:pPr>
            <w:r>
              <w:rPr>
                <w:rFonts w:ascii="Calibri" w:hAnsi="Calibri"/>
                <w:b w:val="0"/>
                <w:i w:val="0"/>
                <w:color w:val="1A2B33"/>
                <w:sz w:val="18"/>
              </w:rPr>
              <w:t>niveles A/B/C</w:t>
            </w:r>
          </w:p>
        </w:tc>
        <w:tc>
          <w:tcPr>
            <w:tcW w:type="dxa" w:w="3100"/>
          </w:tcPr>
          <w:p>
            <w:pPr>
              <w:spacing w:before="20" w:after="20"/>
            </w:pPr>
            <w:r>
              <w:rPr>
                <w:rFonts w:ascii="Calibri" w:hAnsi="Calibri"/>
                <w:b w:val="0"/>
                <w:i w:val="0"/>
                <w:color w:val="1A2B33"/>
                <w:sz w:val="18"/>
              </w:rPr>
              <w:t>Independiente de las entradas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ACTIVIDADES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ECUACIONES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ACTIVIDADES</w:t>
            </w:r>
          </w:p>
        </w:tc>
        <w:tc>
          <w:tcPr>
            <w:tcW w:type="dxa" w:w="5760"/>
          </w:tcPr>
          <w:p>
            <w:pPr>
              <w:spacing w:before="20" w:after="20"/>
            </w:pPr>
            <w:r>
              <w:rPr>
                <w:rFonts w:ascii="Calibri" w:hAnsi="Calibri"/>
                <w:b w:val="0"/>
                <w:i w:val="0"/>
                <w:color w:val="1A2B33"/>
                <w:sz w:val="18"/>
              </w:rPr>
              <w:t>ENTRADA</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14 hojas (14 visibles y 0 ocultas o auxiliares). Incorpora aproximadamente 310 fórmulas, 3 gráficos, 3 tablas estructuradas y 20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Adulto ficticio de 30 años, 70 kg, 170 cm, actividad moderada.</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datos en DATOS y actividades en ACTIVIDADES.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motor calcula el requerimiento energético y el PAL.</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resultado (kcal/día) se interpreta como estimación educativa, no como prescripción.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Estimación de requerimiento energético</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Cálculo energético</w:t>
            </w:r>
          </w:p>
        </w:tc>
        <w:tc>
          <w:tcPr>
            <w:tcW w:type="dxa" w:w="2000"/>
          </w:tcPr>
          <w:p>
            <w:pPr>
              <w:spacing w:before="20" w:after="20"/>
            </w:pPr>
            <w:r>
              <w:rPr>
                <w:rFonts w:ascii="Calibri" w:hAnsi="Calibri"/>
                <w:b w:val="0"/>
                <w:i w:val="0"/>
                <w:color w:val="1A2B33"/>
                <w:sz w:val="18"/>
              </w:rPr>
              <w:t>Exactitud matemática ≠ validación clínica</w:t>
            </w:r>
          </w:p>
        </w:tc>
      </w:tr>
      <w:tr>
        <w:tc>
          <w:tcPr>
            <w:tcW w:type="dxa" w:w="1500"/>
            <w:shd w:val="clear" w:color="auto" w:fill="F6F8F8"/>
          </w:tcPr>
          <w:p>
            <w:pPr>
              <w:spacing w:before="20" w:after="20"/>
            </w:pPr>
            <w:r>
              <w:rPr>
                <w:rFonts w:ascii="Calibri" w:hAnsi="Calibri"/>
                <w:b w:val="0"/>
                <w:i w:val="0"/>
                <w:color w:val="1A2B33"/>
                <w:sz w:val="18"/>
              </w:rPr>
              <w:t>CRITERIO</w:t>
            </w:r>
          </w:p>
        </w:tc>
        <w:tc>
          <w:tcPr>
            <w:tcW w:type="dxa" w:w="2600"/>
            <w:shd w:val="clear" w:color="auto" w:fill="F6F8F8"/>
          </w:tcPr>
          <w:p>
            <w:pPr>
              <w:spacing w:before="20" w:after="20"/>
            </w:pPr>
            <w:r>
              <w:rPr>
                <w:rFonts w:ascii="Calibri" w:hAnsi="Calibri"/>
                <w:b w:val="0"/>
                <w:i w:val="0"/>
                <w:color w:val="1A2B33"/>
                <w:sz w:val="18"/>
              </w:rPr>
              <w:t>Clasificación PAL (NMX-PAL-2026-08-v1)</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Nivel de actividad</w:t>
            </w:r>
          </w:p>
        </w:tc>
        <w:tc>
          <w:tcPr>
            <w:tcW w:type="dxa" w:w="2000"/>
            <w:shd w:val="clear" w:color="auto" w:fill="F6F8F8"/>
          </w:tcPr>
          <w:p>
            <w:pPr>
              <w:spacing w:before="20" w:after="20"/>
            </w:pPr>
            <w:r>
              <w:rPr>
                <w:rFonts w:ascii="Calibri" w:hAnsi="Calibri"/>
                <w:b w:val="0"/>
                <w:i w:val="0"/>
                <w:color w:val="1A2B33"/>
                <w:sz w:val="18"/>
              </w:rPr>
              <w:t>Basada en catálogo propio de actividades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Equipo Nutrimetría</w:t>
            </w:r>
          </w:p>
        </w:tc>
        <w:tc>
          <w:tcPr>
            <w:tcW w:type="dxa" w:w="2600"/>
          </w:tcPr>
          <w:p>
            <w:pPr>
              <w:spacing w:before="20" w:after="20"/>
            </w:pPr>
            <w:r>
              <w:rPr>
                <w:rFonts w:ascii="Calibri" w:hAnsi="Calibri"/>
                <w:b w:val="0"/>
                <w:i w:val="0"/>
                <w:color w:val="1A2B33"/>
                <w:sz w:val="17"/>
              </w:rPr>
              <w:t>Dossier de verificación bibliográfica y metodológica NMX-01</w:t>
            </w:r>
          </w:p>
        </w:tc>
        <w:tc>
          <w:tcPr>
            <w:tcW w:type="dxa" w:w="700"/>
          </w:tcPr>
          <w:p>
            <w:pPr>
              <w:spacing w:before="20" w:after="20"/>
            </w:pPr>
            <w:r>
              <w:rPr>
                <w:rFonts w:ascii="Calibri" w:hAnsi="Calibri"/>
                <w:b w:val="0"/>
                <w:i w:val="0"/>
                <w:color w:val="1A2B33"/>
                <w:sz w:val="17"/>
              </w:rPr>
              <w:t>2026</w:t>
            </w:r>
          </w:p>
        </w:tc>
        <w:tc>
          <w:tcPr>
            <w:tcW w:type="dxa" w:w="2160"/>
          </w:tcPr>
          <w:p>
            <w:pPr>
              <w:spacing w:before="20" w:after="20"/>
            </w:pPr>
            <w:r>
              <w:rPr>
                <w:rFonts w:ascii="Calibri" w:hAnsi="Calibri"/>
                <w:b w:val="0"/>
                <w:i w:val="0"/>
                <w:color w:val="1A2B33"/>
                <w:sz w:val="17"/>
              </w:rPr>
              <w:t>Bases metabólicas y PAL</w:t>
            </w:r>
          </w:p>
        </w:tc>
        <w:tc>
          <w:tcPr>
            <w:tcW w:type="dxa" w:w="1700"/>
          </w:tcPr>
          <w:p>
            <w:pPr>
              <w:spacing w:before="20" w:after="20"/>
            </w:pPr>
            <w:r>
              <w:rPr>
                <w:rFonts w:ascii="Calibri" w:hAnsi="Calibri"/>
                <w:b w:val="0"/>
                <w:i w:val="0"/>
                <w:color w:val="1A2B33"/>
                <w:sz w:val="17"/>
              </w:rPr>
              <w:t>DECISIÓN_DE_INGENIERÍA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Exactitud matemática distinta de validación clínica. Los resultados dependen de la calidad de los datos antropométricos y de la clasificación de actividad. La estimación de PAL usa un catálogo propio (NMX-PAL-2026-08). No sustituye la evaluación profesional.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NMX-10 · Motor de Requerimiento Energético, MET y Efecto Térmico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NMX-13 · Recordatorio de 24 Horas (con catálogo PAL, NMX-01)</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NMX-01</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NMX-01_Necesidades_Energeticas_DEFINITIVO_2026.xlsx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NMX-01 · Calculadora Energética (Necesidades Energéticas)</w:t>
            </w:r>
          </w:p>
          <w:p>
            <w:pPr>
              <w:spacing w:before="80" w:after="0"/>
              <w:jc w:val="center"/>
            </w:pPr>
            <w:r>
              <w:rPr>
                <w:rFonts w:ascii="Calibri" w:hAnsi="Calibri"/>
                <w:b w:val="0"/>
                <w:i w:val="0"/>
                <w:color w:val="EDF2F1"/>
                <w:sz w:val="20"/>
              </w:rPr>
              <w:t>Fase 1 · Motores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NMX-01 · Calculadora Energética (Necesidades Energética</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