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NMX-02</w:t>
      </w:r>
    </w:p>
    <w:p>
      <w:pPr>
        <w:spacing w:before="0" w:after="160" w:line="252" w:lineRule="auto"/>
      </w:pPr>
      <w:r>
        <w:rPr>
          <w:rFonts w:ascii="Calibri" w:hAnsi="Calibri"/>
          <w:b/>
          <w:i w:val="0"/>
          <w:color w:val="1A2B33"/>
          <w:sz w:val="38"/>
        </w:rPr>
        <w:t>Tabla Dietosintética Semanal</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4 · Dietas y Planificación</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Planificación dietética</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NMX-02_Tabla_Dietosintetica_Semanal_SISTEMA_CHILENO_UDD2021(2)_COMERCIAL_PRE_P19_REPARADO_PRE_P19.xlsx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NMX-02 · Tabla Dietosintética Semanal</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4 · Dietas y Planificación</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Planificación dietética</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Traducir una prescripción numérica (energía y macros) en una estructura alimentaria semanal por equivalentes y repartirla en los tiempos de comida.</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Alimentación: Prescripción de energía, Distribución de macronutrientes; Selecciones / listas desplegables: Grupos de equivalentes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Equivalentes por grupo/día; Reparto por tiempos de comida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NMX-02 construye la tabla dietosintética: el paso que traduce una prescripción numérica (energía y distribución de macronutrientes) en una estructura alimentaria manejable —número de equivalentes de cada grupo por día y su reparto en tiempos de comida—. Es el puente entre el cálculo y el menú, usando el sistema de equivalentes chileno (UDD 2021), y organiza una semana completa. Pertenece a la Fase 4.</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Traducir una prescripción numérica (energía y macros) en una estructura alimentaria semanal por equivalentes y repartirla en los tiempos de comida.</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la prescripción (energía y distribución de macros).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la tabla dietosintética (equivalentes por grupo/día).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Distribuir en tiempos de comida y armar la semana.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Uso educativo; sistema de equivalentes chileno (UDD 2021).</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Dietosíntesis</w:t>
            </w:r>
          </w:p>
        </w:tc>
        <w:tc>
          <w:tcPr>
            <w:tcW w:type="dxa" w:w="2500"/>
          </w:tcPr>
          <w:p>
            <w:pPr>
              <w:spacing w:before="20" w:after="20"/>
            </w:pPr>
            <w:r>
              <w:rPr>
                <w:rFonts w:ascii="Calibri" w:hAnsi="Calibri"/>
                <w:b w:val="0"/>
                <w:i w:val="0"/>
                <w:color w:val="1A2B33"/>
                <w:sz w:val="18"/>
              </w:rPr>
              <w:t>Traduce la prescripción a equivalentes por grupo</w:t>
            </w:r>
          </w:p>
        </w:tc>
        <w:tc>
          <w:tcPr>
            <w:tcW w:type="dxa" w:w="2000"/>
          </w:tcPr>
          <w:p>
            <w:pPr>
              <w:spacing w:before="20" w:after="20"/>
            </w:pPr>
            <w:r>
              <w:rPr>
                <w:rFonts w:ascii="Calibri" w:hAnsi="Calibri"/>
                <w:b w:val="0"/>
                <w:i w:val="0"/>
                <w:color w:val="1A2B33"/>
                <w:sz w:val="18"/>
              </w:rPr>
              <w:t>Energía y macros</w:t>
            </w:r>
          </w:p>
        </w:tc>
        <w:tc>
          <w:tcPr>
            <w:tcW w:type="dxa" w:w="2160"/>
          </w:tcPr>
          <w:p>
            <w:pPr>
              <w:spacing w:before="20" w:after="20"/>
            </w:pPr>
            <w:r>
              <w:rPr>
                <w:rFonts w:ascii="Calibri" w:hAnsi="Calibri"/>
                <w:b w:val="0"/>
                <w:i w:val="0"/>
                <w:color w:val="1A2B33"/>
                <w:sz w:val="18"/>
              </w:rPr>
              <w:t>Equivalentes por grupo/día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Distribución</w:t>
            </w:r>
          </w:p>
        </w:tc>
        <w:tc>
          <w:tcPr>
            <w:tcW w:type="dxa" w:w="2500"/>
            <w:shd w:val="clear" w:color="auto" w:fill="F6F8F8"/>
          </w:tcPr>
          <w:p>
            <w:pPr>
              <w:spacing w:before="20" w:after="20"/>
            </w:pPr>
            <w:r>
              <w:rPr>
                <w:rFonts w:ascii="Calibri" w:hAnsi="Calibri"/>
                <w:b w:val="0"/>
                <w:i w:val="0"/>
                <w:color w:val="1A2B33"/>
                <w:sz w:val="18"/>
              </w:rPr>
              <w:t>Reparte en tiempos de comida</w:t>
            </w:r>
          </w:p>
        </w:tc>
        <w:tc>
          <w:tcPr>
            <w:tcW w:type="dxa" w:w="2000"/>
            <w:shd w:val="clear" w:color="auto" w:fill="F6F8F8"/>
          </w:tcPr>
          <w:p>
            <w:pPr>
              <w:spacing w:before="20" w:after="20"/>
            </w:pPr>
            <w:r>
              <w:rPr>
                <w:rFonts w:ascii="Calibri" w:hAnsi="Calibri"/>
                <w:b w:val="0"/>
                <w:i w:val="0"/>
                <w:color w:val="1A2B33"/>
                <w:sz w:val="18"/>
              </w:rPr>
              <w:t>Equivalentes/día</w:t>
            </w:r>
          </w:p>
        </w:tc>
        <w:tc>
          <w:tcPr>
            <w:tcW w:type="dxa" w:w="2160"/>
            <w:shd w:val="clear" w:color="auto" w:fill="F6F8F8"/>
          </w:tcPr>
          <w:p>
            <w:pPr>
              <w:spacing w:before="20" w:after="20"/>
            </w:pPr>
            <w:r>
              <w:rPr>
                <w:rFonts w:ascii="Calibri" w:hAnsi="Calibri"/>
                <w:b w:val="0"/>
                <w:i w:val="0"/>
                <w:color w:val="1A2B33"/>
                <w:sz w:val="18"/>
              </w:rPr>
              <w:t>Distribución por tiempo</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Semana</w:t>
            </w:r>
          </w:p>
        </w:tc>
        <w:tc>
          <w:tcPr>
            <w:tcW w:type="dxa" w:w="2500"/>
          </w:tcPr>
          <w:p>
            <w:pPr>
              <w:spacing w:before="20" w:after="20"/>
            </w:pPr>
            <w:r>
              <w:rPr>
                <w:rFonts w:ascii="Calibri" w:hAnsi="Calibri"/>
                <w:b w:val="0"/>
                <w:i w:val="0"/>
                <w:color w:val="1A2B33"/>
                <w:sz w:val="18"/>
              </w:rPr>
              <w:t>Organiza la estructura semanal</w:t>
            </w:r>
          </w:p>
        </w:tc>
        <w:tc>
          <w:tcPr>
            <w:tcW w:type="dxa" w:w="2000"/>
          </w:tcPr>
          <w:p>
            <w:pPr>
              <w:spacing w:before="20" w:after="20"/>
            </w:pPr>
            <w:r>
              <w:rPr>
                <w:rFonts w:ascii="Calibri" w:hAnsi="Calibri"/>
                <w:b w:val="0"/>
                <w:i w:val="0"/>
                <w:color w:val="1A2B33"/>
                <w:sz w:val="18"/>
              </w:rPr>
              <w:t>Distribución</w:t>
            </w:r>
          </w:p>
        </w:tc>
        <w:tc>
          <w:tcPr>
            <w:tcW w:type="dxa" w:w="2160"/>
          </w:tcPr>
          <w:p>
            <w:pPr>
              <w:spacing w:before="20" w:after="20"/>
            </w:pPr>
            <w:r>
              <w:rPr>
                <w:rFonts w:ascii="Calibri" w:hAnsi="Calibri"/>
                <w:b w:val="0"/>
                <w:i w:val="0"/>
                <w:color w:val="1A2B33"/>
                <w:sz w:val="18"/>
              </w:rPr>
              <w:t>Tabla semanal</w:t>
            </w:r>
          </w:p>
        </w:tc>
        <w:tc>
          <w:tcPr>
            <w:tcW w:type="dxa" w:w="1200"/>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Prescripción de energía, Distribución de macronutrientes</w:t>
      </w:r>
    </w:p>
    <w:p>
      <w:pPr>
        <w:spacing w:before="60" w:after="20" w:line="276" w:lineRule="auto"/>
      </w:pPr>
      <w:r>
        <w:rPr>
          <w:rFonts w:ascii="Calibri" w:hAnsi="Calibri"/>
          <w:b/>
          <w:i w:val="0"/>
          <w:color w:val="0A3E3A"/>
          <w:sz w:val="20"/>
        </w:rPr>
        <w:t>Selecciones / listas desplegables</w:t>
      </w:r>
    </w:p>
    <w:p>
      <w:pPr>
        <w:spacing w:before="40" w:after="60" w:line="276" w:lineRule="auto"/>
      </w:pPr>
      <w:r>
        <w:rPr>
          <w:rFonts w:ascii="Calibri" w:hAnsi="Calibri"/>
          <w:b w:val="0"/>
          <w:i w:val="0"/>
          <w:color w:val="1A2B33"/>
          <w:sz w:val="19"/>
        </w:rPr>
        <w:t>Grupos de equivalentes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Equivalentes por grupo/día</w:t>
            </w:r>
          </w:p>
        </w:tc>
        <w:tc>
          <w:tcPr>
            <w:tcW w:type="dxa" w:w="1700"/>
          </w:tcPr>
          <w:p>
            <w:pPr>
              <w:spacing w:before="20" w:after="20"/>
            </w:pPr>
            <w:r>
              <w:rPr>
                <w:rFonts w:ascii="Calibri" w:hAnsi="Calibri"/>
                <w:b w:val="0"/>
                <w:i w:val="0"/>
                <w:color w:val="1A2B33"/>
                <w:sz w:val="18"/>
              </w:rPr>
              <w:t>PLANIFICACIÓN</w:t>
            </w:r>
          </w:p>
        </w:tc>
        <w:tc>
          <w:tcPr>
            <w:tcW w:type="dxa" w:w="1560"/>
          </w:tcPr>
          <w:p>
            <w:pPr>
              <w:spacing w:before="20" w:after="20"/>
            </w:pPr>
            <w:r>
              <w:rPr>
                <w:rFonts w:ascii="Calibri" w:hAnsi="Calibri"/>
                <w:b w:val="0"/>
                <w:i w:val="0"/>
                <w:color w:val="1A2B33"/>
                <w:sz w:val="18"/>
              </w:rPr>
              <w:t>equivalentes</w:t>
            </w:r>
          </w:p>
        </w:tc>
        <w:tc>
          <w:tcPr>
            <w:tcW w:type="dxa" w:w="3100"/>
          </w:tcPr>
          <w:p>
            <w:pPr>
              <w:spacing w:before="20" w:after="20"/>
            </w:pPr>
            <w:r>
              <w:rPr>
                <w:rFonts w:ascii="Calibri" w:hAnsi="Calibri"/>
                <w:b w:val="0"/>
                <w:i w:val="0"/>
                <w:color w:val="1A2B33"/>
                <w:sz w:val="18"/>
              </w:rPr>
              <w:t>Depende de la prescripción</w:t>
            </w:r>
          </w:p>
        </w:tc>
      </w:tr>
      <w:tr>
        <w:tc>
          <w:tcPr>
            <w:tcW w:type="dxa" w:w="3000"/>
            <w:shd w:val="clear" w:color="auto" w:fill="F6F8F8"/>
          </w:tcPr>
          <w:p>
            <w:pPr>
              <w:spacing w:before="20" w:after="20"/>
            </w:pPr>
            <w:r>
              <w:rPr>
                <w:rFonts w:ascii="Calibri" w:hAnsi="Calibri"/>
                <w:b w:val="0"/>
                <w:i w:val="0"/>
                <w:color w:val="1A2B33"/>
                <w:sz w:val="18"/>
              </w:rPr>
              <w:t>Reparto por tiempos de comida</w:t>
            </w:r>
          </w:p>
        </w:tc>
        <w:tc>
          <w:tcPr>
            <w:tcW w:type="dxa" w:w="1700"/>
            <w:shd w:val="clear" w:color="auto" w:fill="F6F8F8"/>
          </w:tcPr>
          <w:p>
            <w:pPr>
              <w:spacing w:before="20" w:after="20"/>
            </w:pPr>
            <w:r>
              <w:rPr>
                <w:rFonts w:ascii="Calibri" w:hAnsi="Calibri"/>
                <w:b w:val="0"/>
                <w:i w:val="0"/>
                <w:color w:val="1A2B33"/>
                <w:sz w:val="18"/>
              </w:rPr>
              <w:t>PLANIFICACIÓN</w:t>
            </w:r>
          </w:p>
        </w:tc>
        <w:tc>
          <w:tcPr>
            <w:tcW w:type="dxa" w:w="1560"/>
            <w:shd w:val="clear" w:color="auto" w:fill="F6F8F8"/>
          </w:tcPr>
          <w:p>
            <w:pPr>
              <w:spacing w:before="20" w:after="20"/>
            </w:pPr>
            <w:r>
              <w:rPr>
                <w:rFonts w:ascii="Calibri" w:hAnsi="Calibri"/>
                <w:b w:val="0"/>
                <w:i w:val="0"/>
                <w:color w:val="1A2B33"/>
                <w:sz w:val="18"/>
              </w:rPr>
              <w:t>equivalentes/tiempo</w:t>
            </w:r>
          </w:p>
        </w:tc>
        <w:tc>
          <w:tcPr>
            <w:tcW w:type="dxa" w:w="3100"/>
            <w:shd w:val="clear" w:color="auto" w:fill="F6F8F8"/>
          </w:tcPr>
          <w:p>
            <w:pPr>
              <w:spacing w:before="20" w:after="20"/>
            </w:pPr>
            <w:r>
              <w:rPr>
                <w:rFonts w:ascii="Calibri" w:hAnsi="Calibri"/>
                <w:b w:val="0"/>
                <w:i w:val="0"/>
                <w:color w:val="1A2B33"/>
                <w:sz w:val="18"/>
              </w:rPr>
              <w:t>Depende de la distribución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DIETOSINTESIS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DISTRIBUCION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MENU_SEMANAL</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SEMANA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DIETOSINTESIS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SEMANA</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12 hojas (12 visibles y 0 ocultas o auxiliares). Incorpora aproximadamente 380 fórmulas, 4 gráficos, 0 tablas estructuradas y 8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Prescripción ficticia de 2000 kcal con reparto de macros.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 energía y distribución de macronutrientes.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entrega equivalentes por grupo y su reparto semanal.</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tabla sirve de base para construir el menú.</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Sistema de equivalentes chileno (UDD 2021)</w:t>
            </w:r>
          </w:p>
        </w:tc>
        <w:tc>
          <w:tcPr>
            <w:tcW w:type="dxa" w:w="1500"/>
          </w:tcPr>
          <w:p>
            <w:pPr>
              <w:spacing w:before="20" w:after="20"/>
            </w:pPr>
            <w:r>
              <w:rPr>
                <w:rFonts w:ascii="Calibri" w:hAnsi="Calibri"/>
                <w:b w:val="0"/>
                <w:i w:val="0"/>
                <w:color w:val="1A2B33"/>
                <w:sz w:val="18"/>
              </w:rPr>
              <w:t>Chile</w:t>
            </w:r>
          </w:p>
        </w:tc>
        <w:tc>
          <w:tcPr>
            <w:tcW w:type="dxa" w:w="1760"/>
          </w:tcPr>
          <w:p>
            <w:pPr>
              <w:spacing w:before="20" w:after="20"/>
            </w:pPr>
            <w:r>
              <w:rPr>
                <w:rFonts w:ascii="Calibri" w:hAnsi="Calibri"/>
                <w:b w:val="0"/>
                <w:i w:val="0"/>
                <w:color w:val="1A2B33"/>
                <w:sz w:val="18"/>
              </w:rPr>
              <w:t>Dietosíntesis</w:t>
            </w:r>
          </w:p>
        </w:tc>
        <w:tc>
          <w:tcPr>
            <w:tcW w:type="dxa" w:w="2000"/>
          </w:tcPr>
          <w:p>
            <w:pPr>
              <w:spacing w:before="20" w:after="20"/>
            </w:pPr>
            <w:r>
              <w:rPr>
                <w:rFonts w:ascii="Calibri" w:hAnsi="Calibri"/>
                <w:b w:val="0"/>
                <w:i w:val="0"/>
                <w:color w:val="1A2B33"/>
                <w:sz w:val="18"/>
              </w:rPr>
              <w:t>Composición por equivalente precargada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UDD 2021 (sistema chileno de equivalentes)</w:t>
            </w:r>
          </w:p>
        </w:tc>
        <w:tc>
          <w:tcPr>
            <w:tcW w:type="dxa" w:w="2600"/>
          </w:tcPr>
          <w:p>
            <w:pPr>
              <w:spacing w:before="20" w:after="20"/>
            </w:pPr>
            <w:r>
              <w:rPr>
                <w:rFonts w:ascii="Calibri" w:hAnsi="Calibri"/>
                <w:b w:val="0"/>
                <w:i w:val="0"/>
                <w:color w:val="1A2B33"/>
                <w:sz w:val="17"/>
              </w:rPr>
              <w:t>Composición por equivalente</w:t>
            </w:r>
          </w:p>
        </w:tc>
        <w:tc>
          <w:tcPr>
            <w:tcW w:type="dxa" w:w="700"/>
          </w:tcPr>
          <w:p>
            <w:pPr>
              <w:spacing w:before="20" w:after="20"/>
            </w:pPr>
            <w:r>
              <w:rPr>
                <w:rFonts w:ascii="Calibri" w:hAnsi="Calibri"/>
                <w:b w:val="0"/>
                <w:i w:val="0"/>
                <w:color w:val="1A2B33"/>
                <w:sz w:val="17"/>
              </w:rPr>
              <w:t>2021</w:t>
            </w:r>
          </w:p>
        </w:tc>
        <w:tc>
          <w:tcPr>
            <w:tcW w:type="dxa" w:w="2160"/>
          </w:tcPr>
          <w:p>
            <w:pPr>
              <w:spacing w:before="20" w:after="20"/>
            </w:pPr>
            <w:r>
              <w:rPr>
                <w:rFonts w:ascii="Calibri" w:hAnsi="Calibri"/>
                <w:b w:val="0"/>
                <w:i w:val="0"/>
                <w:color w:val="1A2B33"/>
                <w:sz w:val="17"/>
              </w:rPr>
              <w:t>Dietosíntesis</w:t>
            </w:r>
          </w:p>
        </w:tc>
        <w:tc>
          <w:tcPr>
            <w:tcW w:type="dxa" w:w="1700"/>
          </w:tcPr>
          <w:p>
            <w:pPr>
              <w:spacing w:before="20" w:after="20"/>
            </w:pPr>
            <w:r>
              <w:rPr>
                <w:rFonts w:ascii="Calibri" w:hAnsi="Calibri"/>
                <w:b w:val="0"/>
                <w:i w:val="0"/>
                <w:color w:val="1A2B33"/>
                <w:sz w:val="17"/>
              </w:rPr>
              <w:t>FUENTE_SECUNDARIA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Traduce una prescripción; no la calcula ni la valida clínicamente. Depende de la calidad de la prescripción de entrada y del sistema de equivalentes usado.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NMX-07 · Gestor de Creación de Dietas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NMX-25 · Constructor de Platillos (Equivalentes Autorizados)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NMX-17 · Recordatorio de 24 Horas Conectado a Equivalentes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NMX-21 · Distribución Alimentaria (INTA 2018)</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NMX-02</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NMX-02_Tabla_Dietosintetica_Semanal_SISTEMA_CHILENO_UDD2021(2)_COMERCIAL_PRE_P19_REPARADO_PRE_P19.xlsx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NMX-02 · Tabla Dietosintética Semanal</w:t>
            </w:r>
          </w:p>
          <w:p>
            <w:pPr>
              <w:spacing w:before="80" w:after="0"/>
              <w:jc w:val="center"/>
            </w:pPr>
            <w:r>
              <w:rPr>
                <w:rFonts w:ascii="Calibri" w:hAnsi="Calibri"/>
                <w:b w:val="0"/>
                <w:i w:val="0"/>
                <w:color w:val="EDF2F1"/>
                <w:sz w:val="20"/>
              </w:rPr>
              <w:t>Fase 4 · Dietas y Planificación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NMX-02 · Tabla Dietosintética Semanal</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