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NMX-03</w:t>
      </w:r>
    </w:p>
    <w:p>
      <w:pPr>
        <w:spacing w:before="0" w:after="160" w:line="252" w:lineRule="auto"/>
      </w:pPr>
      <w:r>
        <w:rPr>
          <w:rFonts w:ascii="Calibri" w:hAnsi="Calibri"/>
          <w:b/>
          <w:i w:val="0"/>
          <w:color w:val="1A2B33"/>
          <w:sz w:val="38"/>
        </w:rPr>
        <w:t>Historia Clínica Nutricional Completa (Integración UDD)</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5 · Clínica</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Historia clínica nutricional</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NO_CONFIRMADO</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Excel 2021 y Microsoft 365 (declarado). Incluye hojas internas ocultas (CALCULOS, PRUEBAS, CONFIG, COMPATIBILIDAD).</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NMX-03_INTEGRACION_UDD(2)_COMERCIAL_PRE_P19_REPARADO_PRE_P19.xlsx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NMX-03 · Historia Clínica Nutricional Completa (Integración UDD)</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5 · Clínica</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Historia clínica nutricional</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Docente; Nutricionista (apoyo clínico profesional); Estudiante de Nutrición y Dietética (avanzado)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Registrar una historia clínica nutricional completa (antecedentes, antropometría, bioquímica, clínica, alimentación, actividad, fármacos) hasta diagnóstico, objetivos, intervención y seguimiento.</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Identificación del paciente (usar códigos); Antropometría: Peso, talla, estimaciones, amputaciones; Bioquímica: Parámetros de laboratorio; Clínica: Antecedentes, diagnóstico; Alimentación: Ingesta; Actividad física: Actividad; Laboratorio: Fármacos</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Evaluación integral; Diagnóstico y plan</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NO_CONFIRMADO</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Excel 2021 y Microsoft 365 (declarado). Incluye hojas internas ocultas (CALCULOS, PRUEBAS, CONFIG, COMPATIBILIDAD).</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NMX-03 es la historia clínica nutricional completa de la suite (estado declarado como candidato a publicación, versión 1.0.1-RC). Con 31 hojas, cubre pacientes, evaluación, antecedentes, antropometría, bioquímica, clínica, alimentación, actividad y fármacos, y avanza hasta diagnóstico, objetivos, intervención y seguimiento. Incorpora criterios clínicos, estimación de peso/talla, amputaciones y situaciones especiales. Es la pieza clínica más integral de la Fase 5. Los casos de ejemplo son ficticios y deben reemplazarse antes de un uso real.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Registrar una historia clínica nutricional completa (antecedentes, antropometría, bioquímica, clínica, alimentación, actividad, fármacos) hasta diagnóstico, objetivos, intervención y seguimiento.</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Registrar el caso a lo largo de todas sus dimensiones.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Integrar criterios clínicos (adulto/adulto mayor).</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Documentar diagnóstico, objetivos, intervención y seguimiento.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clínico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 (avanzado)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Adulto y adulto mayor; incluye estimación peso/talla, amputaciones y situaciones especiales.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Registro integral</w:t>
            </w:r>
          </w:p>
        </w:tc>
        <w:tc>
          <w:tcPr>
            <w:tcW w:type="dxa" w:w="2500"/>
          </w:tcPr>
          <w:p>
            <w:pPr>
              <w:spacing w:before="20" w:after="20"/>
            </w:pPr>
            <w:r>
              <w:rPr>
                <w:rFonts w:ascii="Calibri" w:hAnsi="Calibri"/>
                <w:b w:val="0"/>
                <w:i w:val="0"/>
                <w:color w:val="1A2B33"/>
                <w:sz w:val="18"/>
              </w:rPr>
              <w:t>Documenta todas las dimensiones del caso</w:t>
            </w:r>
          </w:p>
        </w:tc>
        <w:tc>
          <w:tcPr>
            <w:tcW w:type="dxa" w:w="2000"/>
          </w:tcPr>
          <w:p>
            <w:pPr>
              <w:spacing w:before="20" w:after="20"/>
            </w:pPr>
            <w:r>
              <w:rPr>
                <w:rFonts w:ascii="Calibri" w:hAnsi="Calibri"/>
                <w:b w:val="0"/>
                <w:i w:val="0"/>
                <w:color w:val="1A2B33"/>
                <w:sz w:val="18"/>
              </w:rPr>
              <w:t>Datos del paciente</w:t>
            </w:r>
          </w:p>
        </w:tc>
        <w:tc>
          <w:tcPr>
            <w:tcW w:type="dxa" w:w="2160"/>
          </w:tcPr>
          <w:p>
            <w:pPr>
              <w:spacing w:before="20" w:after="20"/>
            </w:pPr>
            <w:r>
              <w:rPr>
                <w:rFonts w:ascii="Calibri" w:hAnsi="Calibri"/>
                <w:b w:val="0"/>
                <w:i w:val="0"/>
                <w:color w:val="1A2B33"/>
                <w:sz w:val="18"/>
              </w:rPr>
              <w:t>Historia clínica completa</w:t>
            </w:r>
          </w:p>
        </w:tc>
        <w:tc>
          <w:tcPr>
            <w:tcW w:type="dxa" w:w="1200"/>
          </w:tcPr>
          <w:p>
            <w:pPr>
              <w:spacing w:before="20" w:after="20"/>
            </w:pPr>
            <w:r>
              <w:rPr>
                <w:rFonts w:ascii="Calibri" w:hAnsi="Calibri"/>
                <w:b w:val="0"/>
                <w:i w:val="0"/>
                <w:color w:val="1A2B33"/>
                <w:sz w:val="18"/>
              </w:rPr>
              <w:t>Avanzado</w:t>
            </w:r>
          </w:p>
        </w:tc>
      </w:tr>
      <w:tr>
        <w:tc>
          <w:tcPr>
            <w:tcW w:type="dxa" w:w="1500"/>
            <w:shd w:val="clear" w:color="auto" w:fill="F6F8F8"/>
          </w:tcPr>
          <w:p>
            <w:pPr>
              <w:spacing w:before="20" w:after="20"/>
            </w:pPr>
            <w:r>
              <w:rPr>
                <w:rFonts w:ascii="Calibri" w:hAnsi="Calibri"/>
                <w:b w:val="0"/>
                <w:i w:val="0"/>
                <w:color w:val="1A2B33"/>
                <w:sz w:val="18"/>
              </w:rPr>
              <w:t>Criterios clínicos</w:t>
            </w:r>
          </w:p>
        </w:tc>
        <w:tc>
          <w:tcPr>
            <w:tcW w:type="dxa" w:w="2500"/>
            <w:shd w:val="clear" w:color="auto" w:fill="F6F8F8"/>
          </w:tcPr>
          <w:p>
            <w:pPr>
              <w:spacing w:before="20" w:after="20"/>
            </w:pPr>
            <w:r>
              <w:rPr>
                <w:rFonts w:ascii="Calibri" w:hAnsi="Calibri"/>
                <w:b w:val="0"/>
                <w:i w:val="0"/>
                <w:color w:val="1A2B33"/>
                <w:sz w:val="18"/>
              </w:rPr>
              <w:t>Aplica criterios (adulto/adulto mayor)</w:t>
            </w:r>
          </w:p>
        </w:tc>
        <w:tc>
          <w:tcPr>
            <w:tcW w:type="dxa" w:w="2000"/>
            <w:shd w:val="clear" w:color="auto" w:fill="F6F8F8"/>
          </w:tcPr>
          <w:p>
            <w:pPr>
              <w:spacing w:before="20" w:after="20"/>
            </w:pPr>
            <w:r>
              <w:rPr>
                <w:rFonts w:ascii="Calibri" w:hAnsi="Calibri"/>
                <w:b w:val="0"/>
                <w:i w:val="0"/>
                <w:color w:val="1A2B33"/>
                <w:sz w:val="18"/>
              </w:rPr>
              <w:t>Datos + criterios</w:t>
            </w:r>
          </w:p>
        </w:tc>
        <w:tc>
          <w:tcPr>
            <w:tcW w:type="dxa" w:w="2160"/>
            <w:shd w:val="clear" w:color="auto" w:fill="F6F8F8"/>
          </w:tcPr>
          <w:p>
            <w:pPr>
              <w:spacing w:before="20" w:after="20"/>
            </w:pPr>
            <w:r>
              <w:rPr>
                <w:rFonts w:ascii="Calibri" w:hAnsi="Calibri"/>
                <w:b w:val="0"/>
                <w:i w:val="0"/>
                <w:color w:val="1A2B33"/>
                <w:sz w:val="18"/>
              </w:rPr>
              <w:t>Clasificación orientadora</w:t>
            </w:r>
          </w:p>
        </w:tc>
        <w:tc>
          <w:tcPr>
            <w:tcW w:type="dxa" w:w="1200"/>
            <w:shd w:val="clear" w:color="auto" w:fill="F6F8F8"/>
          </w:tcPr>
          <w:p>
            <w:pPr>
              <w:spacing w:before="20" w:after="20"/>
            </w:pPr>
            <w:r>
              <w:rPr>
                <w:rFonts w:ascii="Calibri" w:hAnsi="Calibri"/>
                <w:b w:val="0"/>
                <w:i w:val="0"/>
                <w:color w:val="1A2B33"/>
                <w:sz w:val="18"/>
              </w:rPr>
              <w:t>Avanzado</w:t>
            </w:r>
          </w:p>
        </w:tc>
      </w:tr>
      <w:tr>
        <w:tc>
          <w:tcPr>
            <w:tcW w:type="dxa" w:w="1500"/>
          </w:tcPr>
          <w:p>
            <w:pPr>
              <w:spacing w:before="20" w:after="20"/>
            </w:pPr>
            <w:r>
              <w:rPr>
                <w:rFonts w:ascii="Calibri" w:hAnsi="Calibri"/>
                <w:b w:val="0"/>
                <w:i w:val="0"/>
                <w:color w:val="1A2B33"/>
                <w:sz w:val="18"/>
              </w:rPr>
              <w:t>Diagnóstico e intervención</w:t>
            </w:r>
          </w:p>
        </w:tc>
        <w:tc>
          <w:tcPr>
            <w:tcW w:type="dxa" w:w="2500"/>
          </w:tcPr>
          <w:p>
            <w:pPr>
              <w:spacing w:before="20" w:after="20"/>
            </w:pPr>
            <w:r>
              <w:rPr>
                <w:rFonts w:ascii="Calibri" w:hAnsi="Calibri"/>
                <w:b w:val="0"/>
                <w:i w:val="0"/>
                <w:color w:val="1A2B33"/>
                <w:sz w:val="18"/>
              </w:rPr>
              <w:t>Estructura diagnóstico, objetivos, plan y seguimiento</w:t>
            </w:r>
          </w:p>
        </w:tc>
        <w:tc>
          <w:tcPr>
            <w:tcW w:type="dxa" w:w="2000"/>
          </w:tcPr>
          <w:p>
            <w:pPr>
              <w:spacing w:before="20" w:after="20"/>
            </w:pPr>
            <w:r>
              <w:rPr>
                <w:rFonts w:ascii="Calibri" w:hAnsi="Calibri"/>
                <w:b w:val="0"/>
                <w:i w:val="0"/>
                <w:color w:val="1A2B33"/>
                <w:sz w:val="18"/>
              </w:rPr>
              <w:t>Evaluación</w:t>
            </w:r>
          </w:p>
        </w:tc>
        <w:tc>
          <w:tcPr>
            <w:tcW w:type="dxa" w:w="2160"/>
          </w:tcPr>
          <w:p>
            <w:pPr>
              <w:spacing w:before="20" w:after="20"/>
            </w:pPr>
            <w:r>
              <w:rPr>
                <w:rFonts w:ascii="Calibri" w:hAnsi="Calibri"/>
                <w:b w:val="0"/>
                <w:i w:val="0"/>
                <w:color w:val="1A2B33"/>
                <w:sz w:val="18"/>
              </w:rPr>
              <w:t>Plan documentado</w:t>
            </w:r>
          </w:p>
        </w:tc>
        <w:tc>
          <w:tcPr>
            <w:tcW w:type="dxa" w:w="1200"/>
          </w:tcPr>
          <w:p>
            <w:pPr>
              <w:spacing w:before="20" w:after="20"/>
            </w:pPr>
            <w:r>
              <w:rPr>
                <w:rFonts w:ascii="Calibri" w:hAnsi="Calibri"/>
                <w:b w:val="0"/>
                <w:i w:val="0"/>
                <w:color w:val="1A2B33"/>
                <w:sz w:val="18"/>
              </w:rPr>
              <w:t>Avanzado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Identificación del paciente (usar códigos)</w:t>
      </w:r>
    </w:p>
    <w:p>
      <w:pPr>
        <w:spacing w:before="60" w:after="20" w:line="276" w:lineRule="auto"/>
      </w:pPr>
      <w:r>
        <w:rPr>
          <w:rFonts w:ascii="Calibri" w:hAnsi="Calibri"/>
          <w:b/>
          <w:i w:val="0"/>
          <w:color w:val="0A3E3A"/>
          <w:sz w:val="20"/>
        </w:rPr>
        <w:t>Antropometría</w:t>
      </w:r>
    </w:p>
    <w:p>
      <w:pPr>
        <w:spacing w:before="40" w:after="60" w:line="276" w:lineRule="auto"/>
      </w:pPr>
      <w:r>
        <w:rPr>
          <w:rFonts w:ascii="Calibri" w:hAnsi="Calibri"/>
          <w:b w:val="0"/>
          <w:i w:val="0"/>
          <w:color w:val="1A2B33"/>
          <w:sz w:val="19"/>
        </w:rPr>
        <w:t>Peso, talla, estimaciones, amputaciones</w:t>
      </w:r>
    </w:p>
    <w:p>
      <w:pPr>
        <w:spacing w:before="60" w:after="20" w:line="276" w:lineRule="auto"/>
      </w:pPr>
      <w:r>
        <w:rPr>
          <w:rFonts w:ascii="Calibri" w:hAnsi="Calibri"/>
          <w:b/>
          <w:i w:val="0"/>
          <w:color w:val="0A3E3A"/>
          <w:sz w:val="20"/>
        </w:rPr>
        <w:t>Bioquímica</w:t>
      </w:r>
    </w:p>
    <w:p>
      <w:pPr>
        <w:spacing w:before="40" w:after="60" w:line="276" w:lineRule="auto"/>
      </w:pPr>
      <w:r>
        <w:rPr>
          <w:rFonts w:ascii="Calibri" w:hAnsi="Calibri"/>
          <w:b w:val="0"/>
          <w:i w:val="0"/>
          <w:color w:val="1A2B33"/>
          <w:sz w:val="19"/>
        </w:rPr>
        <w:t>Parámetros de laboratorio</w:t>
      </w:r>
    </w:p>
    <w:p>
      <w:pPr>
        <w:spacing w:before="60" w:after="20" w:line="276" w:lineRule="auto"/>
      </w:pPr>
      <w:r>
        <w:rPr>
          <w:rFonts w:ascii="Calibri" w:hAnsi="Calibri"/>
          <w:b/>
          <w:i w:val="0"/>
          <w:color w:val="0A3E3A"/>
          <w:sz w:val="20"/>
        </w:rPr>
        <w:t>Clínica</w:t>
      </w:r>
    </w:p>
    <w:p>
      <w:pPr>
        <w:spacing w:before="40" w:after="60" w:line="276" w:lineRule="auto"/>
      </w:pPr>
      <w:r>
        <w:rPr>
          <w:rFonts w:ascii="Calibri" w:hAnsi="Calibri"/>
          <w:b w:val="0"/>
          <w:i w:val="0"/>
          <w:color w:val="1A2B33"/>
          <w:sz w:val="19"/>
        </w:rPr>
        <w:t>Antecedentes, diagnóstico</w:t>
      </w:r>
    </w:p>
    <w:p>
      <w:pPr>
        <w:spacing w:before="60" w:after="20" w:line="276" w:lineRule="auto"/>
      </w:pPr>
      <w:r>
        <w:rPr>
          <w:rFonts w:ascii="Calibri" w:hAnsi="Calibri"/>
          <w:b/>
          <w:i w:val="0"/>
          <w:color w:val="0A3E3A"/>
          <w:sz w:val="20"/>
        </w:rPr>
        <w:t>Alimentación</w:t>
      </w:r>
    </w:p>
    <w:p>
      <w:pPr>
        <w:spacing w:before="40" w:after="60" w:line="276" w:lineRule="auto"/>
      </w:pPr>
      <w:r>
        <w:rPr>
          <w:rFonts w:ascii="Calibri" w:hAnsi="Calibri"/>
          <w:b w:val="0"/>
          <w:i w:val="0"/>
          <w:color w:val="1A2B33"/>
          <w:sz w:val="19"/>
        </w:rPr>
        <w:t>Ingesta</w:t>
      </w:r>
    </w:p>
    <w:p>
      <w:pPr>
        <w:spacing w:before="60" w:after="20" w:line="276" w:lineRule="auto"/>
      </w:pPr>
      <w:r>
        <w:rPr>
          <w:rFonts w:ascii="Calibri" w:hAnsi="Calibri"/>
          <w:b/>
          <w:i w:val="0"/>
          <w:color w:val="0A3E3A"/>
          <w:sz w:val="20"/>
        </w:rPr>
        <w:t>Actividad física</w:t>
      </w:r>
    </w:p>
    <w:p>
      <w:pPr>
        <w:spacing w:before="40" w:after="60" w:line="276" w:lineRule="auto"/>
      </w:pPr>
      <w:r>
        <w:rPr>
          <w:rFonts w:ascii="Calibri" w:hAnsi="Calibri"/>
          <w:b w:val="0"/>
          <w:i w:val="0"/>
          <w:color w:val="1A2B33"/>
          <w:sz w:val="19"/>
        </w:rPr>
        <w:t>Actividad</w:t>
      </w:r>
    </w:p>
    <w:p>
      <w:pPr>
        <w:spacing w:before="60" w:after="20" w:line="276" w:lineRule="auto"/>
      </w:pPr>
      <w:r>
        <w:rPr>
          <w:rFonts w:ascii="Calibri" w:hAnsi="Calibri"/>
          <w:b/>
          <w:i w:val="0"/>
          <w:color w:val="0A3E3A"/>
          <w:sz w:val="20"/>
        </w:rPr>
        <w:t>Laboratorio</w:t>
      </w:r>
    </w:p>
    <w:p>
      <w:pPr>
        <w:spacing w:before="40" w:after="60" w:line="276" w:lineRule="auto"/>
      </w:pPr>
      <w:r>
        <w:rPr>
          <w:rFonts w:ascii="Calibri" w:hAnsi="Calibri"/>
          <w:b w:val="0"/>
          <w:i w:val="0"/>
          <w:color w:val="1A2B33"/>
          <w:sz w:val="19"/>
        </w:rPr>
        <w:t>Fármacos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Evaluación integral</w:t>
            </w:r>
          </w:p>
        </w:tc>
        <w:tc>
          <w:tcPr>
            <w:tcW w:type="dxa" w:w="1700"/>
          </w:tcPr>
          <w:p>
            <w:pPr>
              <w:spacing w:before="20" w:after="20"/>
            </w:pPr>
            <w:r>
              <w:rPr>
                <w:rFonts w:ascii="Calibri" w:hAnsi="Calibri"/>
                <w:b w:val="0"/>
                <w:i w:val="0"/>
                <w:color w:val="1A2B33"/>
                <w:sz w:val="18"/>
              </w:rPr>
              <w:t>INFORME</w:t>
            </w:r>
          </w:p>
        </w:tc>
        <w:tc>
          <w:tcPr>
            <w:tcW w:type="dxa" w:w="1560"/>
          </w:tcPr>
          <w:p>
            <w:pPr>
              <w:spacing w:before="20" w:after="20"/>
            </w:pPr>
            <w:r>
              <w:rPr>
                <w:rFonts w:ascii="Calibri" w:hAnsi="Calibri"/>
                <w:b w:val="0"/>
                <w:i w:val="0"/>
                <w:color w:val="1A2B33"/>
                <w:sz w:val="18"/>
              </w:rPr>
              <w:t>estructura</w:t>
            </w:r>
          </w:p>
        </w:tc>
        <w:tc>
          <w:tcPr>
            <w:tcW w:type="dxa" w:w="3100"/>
          </w:tcPr>
          <w:p>
            <w:pPr>
              <w:spacing w:before="20" w:after="20"/>
            </w:pPr>
            <w:r>
              <w:rPr>
                <w:rFonts w:ascii="Calibri" w:hAnsi="Calibri"/>
                <w:b w:val="0"/>
                <w:i w:val="0"/>
                <w:color w:val="1A2B33"/>
                <w:sz w:val="18"/>
              </w:rPr>
              <w:t>Depende del registro</w:t>
            </w:r>
          </w:p>
        </w:tc>
      </w:tr>
      <w:tr>
        <w:tc>
          <w:tcPr>
            <w:tcW w:type="dxa" w:w="3000"/>
            <w:shd w:val="clear" w:color="auto" w:fill="F6F8F8"/>
          </w:tcPr>
          <w:p>
            <w:pPr>
              <w:spacing w:before="20" w:after="20"/>
            </w:pPr>
            <w:r>
              <w:rPr>
                <w:rFonts w:ascii="Calibri" w:hAnsi="Calibri"/>
                <w:b w:val="0"/>
                <w:i w:val="0"/>
                <w:color w:val="1A2B33"/>
                <w:sz w:val="18"/>
              </w:rPr>
              <w:t>Diagnóstico y plan</w:t>
            </w:r>
          </w:p>
        </w:tc>
        <w:tc>
          <w:tcPr>
            <w:tcW w:type="dxa" w:w="1700"/>
            <w:shd w:val="clear" w:color="auto" w:fill="F6F8F8"/>
          </w:tcPr>
          <w:p>
            <w:pPr>
              <w:spacing w:before="20" w:after="20"/>
            </w:pPr>
            <w:r>
              <w:rPr>
                <w:rFonts w:ascii="Calibri" w:hAnsi="Calibri"/>
                <w:b w:val="0"/>
                <w:i w:val="0"/>
                <w:color w:val="1A2B33"/>
                <w:sz w:val="18"/>
              </w:rPr>
              <w:t>INTERPRETACIÓN</w:t>
            </w:r>
          </w:p>
        </w:tc>
        <w:tc>
          <w:tcPr>
            <w:tcW w:type="dxa" w:w="1560"/>
            <w:shd w:val="clear" w:color="auto" w:fill="F6F8F8"/>
          </w:tcPr>
          <w:p>
            <w:pPr>
              <w:spacing w:before="20" w:after="20"/>
            </w:pPr>
            <w:r>
              <w:rPr>
                <w:rFonts w:ascii="Calibri" w:hAnsi="Calibri"/>
                <w:b w:val="0"/>
                <w:i w:val="0"/>
                <w:color w:val="1A2B33"/>
                <w:sz w:val="18"/>
              </w:rPr>
              <w:t>clasificación/plan</w:t>
            </w:r>
          </w:p>
        </w:tc>
        <w:tc>
          <w:tcPr>
            <w:tcW w:type="dxa" w:w="3100"/>
            <w:shd w:val="clear" w:color="auto" w:fill="F6F8F8"/>
          </w:tcPr>
          <w:p>
            <w:pPr>
              <w:spacing w:before="20" w:after="20"/>
            </w:pPr>
            <w:r>
              <w:rPr>
                <w:rFonts w:ascii="Calibri" w:hAnsi="Calibri"/>
                <w:b w:val="0"/>
                <w:i w:val="0"/>
                <w:color w:val="1A2B33"/>
                <w:sz w:val="18"/>
              </w:rPr>
              <w:t>Depende de la evaluación</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531"/>
        <w:gridCol w:w="531"/>
        <w:gridCol w:w="531"/>
        <w:gridCol w:w="531"/>
        <w:gridCol w:w="531"/>
        <w:gridCol w:w="531"/>
        <w:gridCol w:w="531"/>
        <w:gridCol w:w="531"/>
        <w:gridCol w:w="531"/>
        <w:gridCol w:w="531"/>
        <w:gridCol w:w="531"/>
        <w:gridCol w:w="531"/>
        <w:gridCol w:w="531"/>
        <w:gridCol w:w="531"/>
        <w:gridCol w:w="531"/>
        <w:gridCol w:w="531"/>
        <w:gridCol w:w="531"/>
        <w:gridCol w:w="531"/>
        <w:gridCol w:w="531"/>
      </w:tblGrid>
      <w:tr>
        <w:tc>
          <w:tcPr>
            <w:tcW w:type="dxa" w:w="531"/>
            <w:shd w:val="clear" w:color="auto" w:fill="EDF2F1"/>
          </w:tcPr>
          <w:p>
            <w:pPr>
              <w:spacing w:before="20" w:after="20"/>
              <w:jc w:val="center"/>
            </w:pPr>
            <w:r>
              <w:rPr>
                <w:rFonts w:ascii="Calibri" w:hAnsi="Calibri"/>
                <w:b/>
                <w:i w:val="0"/>
                <w:color w:val="0A3E3A"/>
                <w:sz w:val="15"/>
              </w:rPr>
              <w:t>INICIO</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PACIENTES</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EVALUACION</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(ANTECEDENTES/ANTROPOMETRIA/BIOQUIMICA/CLINICA/ALIMENTACION/ACTIVIDAD/FARMACOS)</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DIAGNOSTICO</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OBJETIVOS</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INTERVENCION</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SEGUIMIENTO</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RESUMEN</w:t>
            </w:r>
          </w:p>
        </w:tc>
        <w:tc>
          <w:tcPr>
            <w:tcW w:type="dxa" w:w="531"/>
          </w:tcPr>
          <w:p>
            <w:pPr>
              <w:spacing w:before="20" w:after="20"/>
              <w:jc w:val="center"/>
            </w:pPr>
            <w:r>
              <w:rPr>
                <w:rFonts w:ascii="Calibri" w:hAnsi="Calibri"/>
                <w:b/>
                <w:i w:val="0"/>
                <w:color w:val="C08A2B"/>
                <w:sz w:val="18"/>
              </w:rPr>
              <w:t>→</w:t>
            </w:r>
          </w:p>
        </w:tc>
        <w:tc>
          <w:tcPr>
            <w:tcW w:type="dxa" w:w="531"/>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EVALUACION</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DIAGNOSTICO</w:t>
            </w:r>
          </w:p>
        </w:tc>
        <w:tc>
          <w:tcPr>
            <w:tcW w:type="dxa" w:w="5760"/>
          </w:tcPr>
          <w:p>
            <w:pPr>
              <w:spacing w:before="20" w:after="20"/>
            </w:pPr>
            <w:r>
              <w:rPr>
                <w:rFonts w:ascii="Calibri" w:hAnsi="Calibri"/>
                <w:b w:val="0"/>
                <w:i w:val="0"/>
                <w:color w:val="1A2B33"/>
                <w:sz w:val="18"/>
              </w:rPr>
              <w:t>RESULTADOS</w:t>
            </w:r>
          </w:p>
        </w:tc>
      </w:tr>
      <w:tr>
        <w:tc>
          <w:tcPr>
            <w:tcW w:type="dxa" w:w="3600"/>
            <w:shd w:val="clear" w:color="auto" w:fill="F6F8F8"/>
          </w:tcPr>
          <w:p>
            <w:pPr>
              <w:spacing w:before="20" w:after="20"/>
            </w:pPr>
            <w:r>
              <w:rPr>
                <w:rFonts w:ascii="Calibri" w:hAnsi="Calibri"/>
                <w:b w:val="0"/>
                <w:i w:val="0"/>
                <w:color w:val="1A2B33"/>
                <w:sz w:val="18"/>
              </w:rPr>
              <w:t>INTERVENCION</w:t>
            </w:r>
          </w:p>
        </w:tc>
        <w:tc>
          <w:tcPr>
            <w:tcW w:type="dxa" w:w="5760"/>
            <w:shd w:val="clear" w:color="auto" w:fill="F6F8F8"/>
          </w:tcPr>
          <w:p>
            <w:pPr>
              <w:spacing w:before="20" w:after="20"/>
            </w:pPr>
            <w:r>
              <w:rPr>
                <w:rFonts w:ascii="Calibri" w:hAnsi="Calibri"/>
                <w:b w:val="0"/>
                <w:i w:val="0"/>
                <w:color w:val="1A2B33"/>
                <w:sz w:val="18"/>
              </w:rPr>
              <w:t>RESULTADOS</w:t>
            </w:r>
          </w:p>
        </w:tc>
      </w:tr>
      <w:tr>
        <w:tc>
          <w:tcPr>
            <w:tcW w:type="dxa" w:w="3600"/>
          </w:tcPr>
          <w:p>
            <w:pPr>
              <w:spacing w:before="20" w:after="20"/>
            </w:pPr>
            <w:r>
              <w:rPr>
                <w:rFonts w:ascii="Calibri" w:hAnsi="Calibri"/>
                <w:b w:val="0"/>
                <w:i w:val="0"/>
                <w:color w:val="1A2B33"/>
                <w:sz w:val="18"/>
              </w:rPr>
              <w:t>RESUMEN</w:t>
            </w:r>
          </w:p>
        </w:tc>
        <w:tc>
          <w:tcPr>
            <w:tcW w:type="dxa" w:w="5760"/>
          </w:tcPr>
          <w:p>
            <w:pPr>
              <w:spacing w:before="20" w:after="20"/>
            </w:pPr>
            <w:r>
              <w:rPr>
                <w:rFonts w:ascii="Calibri" w:hAnsi="Calibri"/>
                <w:b w:val="0"/>
                <w:i w:val="0"/>
                <w:color w:val="1A2B33"/>
                <w:sz w:val="18"/>
              </w:rPr>
              <w:t>INFORME</w:t>
            </w:r>
          </w:p>
        </w:tc>
      </w:tr>
      <w:tr>
        <w:tc>
          <w:tcPr>
            <w:tcW w:type="dxa" w:w="3600"/>
            <w:shd w:val="clear" w:color="auto" w:fill="F6F8F8"/>
          </w:tcPr>
          <w:p>
            <w:pPr>
              <w:spacing w:before="20" w:after="20"/>
            </w:pPr>
            <w:r>
              <w:rPr>
                <w:rFonts w:ascii="Calibri" w:hAnsi="Calibri"/>
                <w:b w:val="0"/>
                <w:i w:val="0"/>
                <w:color w:val="1A2B33"/>
                <w:sz w:val="18"/>
              </w:rPr>
              <w:t>FUENTES</w:t>
            </w:r>
          </w:p>
        </w:tc>
        <w:tc>
          <w:tcPr>
            <w:tcW w:type="dxa" w:w="5760"/>
            <w:shd w:val="clear" w:color="auto" w:fill="F6F8F8"/>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31 hojas (25 visibles y 6 ocultas o auxiliares). Incorpora aproximadamente 928 fórmulas, 4 gráficos, 20 tablas estructuradas y 103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Paciente ficticio adulto (usar código, no nombre real).</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registran antecedentes, antropometría, bioquímica y alimentación.</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integra criterios y estructura el diagnóstico.</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Se documentan objetivos, intervención y seguimiento; interpreta el profesional.</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CRITERIO</w:t>
            </w:r>
          </w:p>
        </w:tc>
        <w:tc>
          <w:tcPr>
            <w:tcW w:type="dxa" w:w="2600"/>
          </w:tcPr>
          <w:p>
            <w:pPr>
              <w:spacing w:before="20" w:after="20"/>
            </w:pPr>
            <w:r>
              <w:rPr>
                <w:rFonts w:ascii="Calibri" w:hAnsi="Calibri"/>
                <w:b w:val="0"/>
                <w:i w:val="0"/>
                <w:color w:val="1A2B33"/>
                <w:sz w:val="18"/>
              </w:rPr>
              <w:t>Criterios clínicos adulto/adulto mayor (incl. estimación peso/talla)</w:t>
            </w:r>
          </w:p>
        </w:tc>
        <w:tc>
          <w:tcPr>
            <w:tcW w:type="dxa" w:w="1500"/>
          </w:tcPr>
          <w:p>
            <w:pPr>
              <w:spacing w:before="20" w:after="20"/>
            </w:pPr>
            <w:r>
              <w:rPr>
                <w:rFonts w:ascii="Calibri" w:hAnsi="Calibri"/>
                <w:b w:val="0"/>
                <w:i w:val="0"/>
                <w:color w:val="1A2B33"/>
                <w:sz w:val="18"/>
              </w:rPr>
              <w:t>Adulto y adulto mayor</w:t>
            </w:r>
          </w:p>
        </w:tc>
        <w:tc>
          <w:tcPr>
            <w:tcW w:type="dxa" w:w="1760"/>
          </w:tcPr>
          <w:p>
            <w:pPr>
              <w:spacing w:before="20" w:after="20"/>
            </w:pPr>
            <w:r>
              <w:rPr>
                <w:rFonts w:ascii="Calibri" w:hAnsi="Calibri"/>
                <w:b w:val="0"/>
                <w:i w:val="0"/>
                <w:color w:val="1A2B33"/>
                <w:sz w:val="18"/>
              </w:rPr>
              <w:t>Evaluación clínica</w:t>
            </w:r>
          </w:p>
        </w:tc>
        <w:tc>
          <w:tcPr>
            <w:tcW w:type="dxa" w:w="2000"/>
          </w:tcPr>
          <w:p>
            <w:pPr>
              <w:spacing w:before="20" w:after="20"/>
            </w:pPr>
            <w:r>
              <w:rPr>
                <w:rFonts w:ascii="Calibri" w:hAnsi="Calibri"/>
                <w:b w:val="0"/>
                <w:i w:val="0"/>
                <w:color w:val="1A2B33"/>
                <w:sz w:val="18"/>
              </w:rPr>
              <w:t>Interpretación profesional obligatoria</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OMS y fuentes primarias</w:t>
            </w:r>
          </w:p>
        </w:tc>
        <w:tc>
          <w:tcPr>
            <w:tcW w:type="dxa" w:w="2600"/>
          </w:tcPr>
          <w:p>
            <w:pPr>
              <w:spacing w:before="20" w:after="20"/>
            </w:pPr>
            <w:r>
              <w:rPr>
                <w:rFonts w:ascii="Calibri" w:hAnsi="Calibri"/>
                <w:b w:val="0"/>
                <w:i w:val="0"/>
                <w:color w:val="1A2B33"/>
                <w:sz w:val="17"/>
              </w:rPr>
              <w:t>Criterios (p. ej. IMC) documentados en FUENTES</w:t>
            </w:r>
          </w:p>
        </w:tc>
        <w:tc>
          <w:tcPr>
            <w:tcW w:type="dxa" w:w="700"/>
          </w:tcPr>
          <w:p>
            <w:pPr>
              <w:spacing w:before="20" w:after="20"/>
            </w:pPr>
            <w:r>
              <w:rPr>
                <w:rFonts w:ascii="Calibri" w:hAnsi="Calibri"/>
                <w:b w:val="0"/>
                <w:i w:val="0"/>
                <w:color w:val="1A2B33"/>
                <w:sz w:val="17"/>
              </w:rPr>
              <w:t>s/f</w:t>
            </w:r>
          </w:p>
        </w:tc>
        <w:tc>
          <w:tcPr>
            <w:tcW w:type="dxa" w:w="2160"/>
          </w:tcPr>
          <w:p>
            <w:pPr>
              <w:spacing w:before="20" w:after="20"/>
            </w:pPr>
            <w:r>
              <w:rPr>
                <w:rFonts w:ascii="Calibri" w:hAnsi="Calibri"/>
                <w:b w:val="0"/>
                <w:i w:val="0"/>
                <w:color w:val="1A2B33"/>
                <w:sz w:val="17"/>
              </w:rPr>
              <w:t>Criterios clínicos</w:t>
            </w:r>
          </w:p>
        </w:tc>
        <w:tc>
          <w:tcPr>
            <w:tcW w:type="dxa" w:w="1700"/>
          </w:tcPr>
          <w:p>
            <w:pPr>
              <w:spacing w:before="20" w:after="20"/>
            </w:pPr>
            <w:r>
              <w:rPr>
                <w:rFonts w:ascii="Calibri" w:hAnsi="Calibri"/>
                <w:b w:val="0"/>
                <w:i w:val="0"/>
                <w:color w:val="1A2B33"/>
                <w:sz w:val="17"/>
              </w:rPr>
              <w:t>NORMA_OFICIAL</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Estado declarado como candidato a publicación (RC): requiere protocolo final. Los casos precargados son ficticios y deben reemplazarse. La interpretación clínica es profesional. Use códigos, no datos identificables.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clínico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reemplaza el juicio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utilizar como único criterio diagnóstico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NMX-20 · Formulario Integral de Evaluación (Adulto, Persona Mayor, Hospital, Deporte, TEM, Frisancho)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NMX-08 · Historia Clínica de Nutrición Deportiva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NMX-P1 · Guía del Paquete (Siete Herramientas)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NMX-03</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NMX-03_INTEGRACION_UDD(2)_COMERCIAL_PRE_P19_REPARADO_PRE_P19.xlsx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NO_CONFIRMADO</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NMX-03 · Historia Clínica Nutricional Completa (Integración UDD)</w:t>
            </w:r>
          </w:p>
          <w:p>
            <w:pPr>
              <w:spacing w:before="80" w:after="0"/>
              <w:jc w:val="center"/>
            </w:pPr>
            <w:r>
              <w:rPr>
                <w:rFonts w:ascii="Calibri" w:hAnsi="Calibri"/>
                <w:b w:val="0"/>
                <w:i w:val="0"/>
                <w:color w:val="EDF2F1"/>
                <w:sz w:val="20"/>
              </w:rPr>
              <w:t>Fase 5 · Clínica · NO_CONFIRMADO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NMX-03 · Historia Clínica Nutricional Completa (Integra</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