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NMX-06</w:t>
      </w:r>
    </w:p>
    <w:p>
      <w:pPr>
        <w:spacing w:before="0" w:after="160" w:line="252" w:lineRule="auto"/>
      </w:pPr>
      <w:r>
        <w:rPr>
          <w:rFonts w:ascii="Calibri" w:hAnsi="Calibri"/>
          <w:b/>
          <w:i w:val="0"/>
          <w:color w:val="1A2B33"/>
          <w:sz w:val="38"/>
        </w:rPr>
        <w:t>Registro y Seguimiento de Composición Corporal</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5 · Clínica</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Seguimiento de composición corporal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v1.0.1</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Microsoft 365 y Excel 2021 (declarado). Estado: pendiente de recálculo comercial.</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NMX-06_QA_REAL_CORREGIDO_v1_0_1_COMERCIAL_PRE_P19_REPARADO_PRE_P19.xlsx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NMX-06 · Registro y Seguimiento de Composición Corporal</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5 · Clínica</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Seguimiento de composición corporal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clínico profesional)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y comparar en el tiempo mediciones de composición corporal por distintos métodos, cuidando la comparabilidad método/dispositivo/protocolo.</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Antropometría: Peso, perímetros, pliegues; Clínica: BIA y otros métodos; Datos personales: Paciente (usar código)</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Tendencia de composición; Reporte de seguimiento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v1.0.1</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Microsoft 365 y Excel 2021 (declarado). Estado: pendiente de recálculo comercial.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NMX-06 registra y hace seguimiento longitudinal de la composición corporal integrando varios métodos: antropometría, perímetros, pliegues, BIA y otros. Su advertencia central, declarada en el libro, es que los métodos y dispositivos no son directamente intercambiables: las tendencias deben compararse preferentemente con el mismo método, dispositivo, protocolo y condiciones. Documenta dispositivos, protocolos y validación. Es una herramienta de seguimiento de la Fase 5.</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Registrar y comparar en el tiempo mediciones de composición corporal por distintos métodos, cuidando la comparabilidad método/dispositivo/protocolo.</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mediciones por método (perímetros, pliegues, BIA, otros).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Comparar evaluaciones en el tiempo.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Mantener la comparabilidad (mismo método/dispositivo/protocolo).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clínico profesional)</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Adultos; multi-método (antropometría, perímetros, pliegues, BIA y otros).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Registro multi-método</w:t>
            </w:r>
          </w:p>
        </w:tc>
        <w:tc>
          <w:tcPr>
            <w:tcW w:type="dxa" w:w="2500"/>
          </w:tcPr>
          <w:p>
            <w:pPr>
              <w:spacing w:before="20" w:after="20"/>
            </w:pPr>
            <w:r>
              <w:rPr>
                <w:rFonts w:ascii="Calibri" w:hAnsi="Calibri"/>
                <w:b w:val="0"/>
                <w:i w:val="0"/>
                <w:color w:val="1A2B33"/>
                <w:sz w:val="18"/>
              </w:rPr>
              <w:t>Captura mediciones por método</w:t>
            </w:r>
          </w:p>
        </w:tc>
        <w:tc>
          <w:tcPr>
            <w:tcW w:type="dxa" w:w="2000"/>
          </w:tcPr>
          <w:p>
            <w:pPr>
              <w:spacing w:before="20" w:after="20"/>
            </w:pPr>
            <w:r>
              <w:rPr>
                <w:rFonts w:ascii="Calibri" w:hAnsi="Calibri"/>
                <w:b w:val="0"/>
                <w:i w:val="0"/>
                <w:color w:val="1A2B33"/>
                <w:sz w:val="18"/>
              </w:rPr>
              <w:t>Mediciones</w:t>
            </w:r>
          </w:p>
        </w:tc>
        <w:tc>
          <w:tcPr>
            <w:tcW w:type="dxa" w:w="2160"/>
          </w:tcPr>
          <w:p>
            <w:pPr>
              <w:spacing w:before="20" w:after="20"/>
            </w:pPr>
            <w:r>
              <w:rPr>
                <w:rFonts w:ascii="Calibri" w:hAnsi="Calibri"/>
                <w:b w:val="0"/>
                <w:i w:val="0"/>
                <w:color w:val="1A2B33"/>
                <w:sz w:val="18"/>
              </w:rPr>
              <w:t>Registro por método</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Comparación temporal</w:t>
            </w:r>
          </w:p>
        </w:tc>
        <w:tc>
          <w:tcPr>
            <w:tcW w:type="dxa" w:w="2500"/>
            <w:shd w:val="clear" w:color="auto" w:fill="F6F8F8"/>
          </w:tcPr>
          <w:p>
            <w:pPr>
              <w:spacing w:before="20" w:after="20"/>
            </w:pPr>
            <w:r>
              <w:rPr>
                <w:rFonts w:ascii="Calibri" w:hAnsi="Calibri"/>
                <w:b w:val="0"/>
                <w:i w:val="0"/>
                <w:color w:val="1A2B33"/>
                <w:sz w:val="18"/>
              </w:rPr>
              <w:t>Compara evaluaciones en el tiempo</w:t>
            </w:r>
          </w:p>
        </w:tc>
        <w:tc>
          <w:tcPr>
            <w:tcW w:type="dxa" w:w="2000"/>
            <w:shd w:val="clear" w:color="auto" w:fill="F6F8F8"/>
          </w:tcPr>
          <w:p>
            <w:pPr>
              <w:spacing w:before="20" w:after="20"/>
            </w:pPr>
            <w:r>
              <w:rPr>
                <w:rFonts w:ascii="Calibri" w:hAnsi="Calibri"/>
                <w:b w:val="0"/>
                <w:i w:val="0"/>
                <w:color w:val="1A2B33"/>
                <w:sz w:val="18"/>
              </w:rPr>
              <w:t>Evaluaciones</w:t>
            </w:r>
          </w:p>
        </w:tc>
        <w:tc>
          <w:tcPr>
            <w:tcW w:type="dxa" w:w="2160"/>
            <w:shd w:val="clear" w:color="auto" w:fill="F6F8F8"/>
          </w:tcPr>
          <w:p>
            <w:pPr>
              <w:spacing w:before="20" w:after="20"/>
            </w:pPr>
            <w:r>
              <w:rPr>
                <w:rFonts w:ascii="Calibri" w:hAnsi="Calibri"/>
                <w:b w:val="0"/>
                <w:i w:val="0"/>
                <w:color w:val="1A2B33"/>
                <w:sz w:val="18"/>
              </w:rPr>
              <w:t>Tendencia</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Control de comparabilidad</w:t>
            </w:r>
          </w:p>
        </w:tc>
        <w:tc>
          <w:tcPr>
            <w:tcW w:type="dxa" w:w="2500"/>
          </w:tcPr>
          <w:p>
            <w:pPr>
              <w:spacing w:before="20" w:after="20"/>
            </w:pPr>
            <w:r>
              <w:rPr>
                <w:rFonts w:ascii="Calibri" w:hAnsi="Calibri"/>
                <w:b w:val="0"/>
                <w:i w:val="0"/>
                <w:color w:val="1A2B33"/>
                <w:sz w:val="18"/>
              </w:rPr>
              <w:t>Verifica mismo método/dispositivo/protocolo</w:t>
            </w:r>
          </w:p>
        </w:tc>
        <w:tc>
          <w:tcPr>
            <w:tcW w:type="dxa" w:w="2000"/>
          </w:tcPr>
          <w:p>
            <w:pPr>
              <w:spacing w:before="20" w:after="20"/>
            </w:pPr>
            <w:r>
              <w:rPr>
                <w:rFonts w:ascii="Calibri" w:hAnsi="Calibri"/>
                <w:b w:val="0"/>
                <w:i w:val="0"/>
                <w:color w:val="1A2B33"/>
                <w:sz w:val="18"/>
              </w:rPr>
              <w:t>Metadatos de medición</w:t>
            </w:r>
          </w:p>
        </w:tc>
        <w:tc>
          <w:tcPr>
            <w:tcW w:type="dxa" w:w="2160"/>
          </w:tcPr>
          <w:p>
            <w:pPr>
              <w:spacing w:before="20" w:after="20"/>
            </w:pPr>
            <w:r>
              <w:rPr>
                <w:rFonts w:ascii="Calibri" w:hAnsi="Calibri"/>
                <w:b w:val="0"/>
                <w:i w:val="0"/>
                <w:color w:val="1A2B33"/>
                <w:sz w:val="18"/>
              </w:rPr>
              <w:t>Alertas de comparabilidad</w:t>
            </w:r>
          </w:p>
        </w:tc>
        <w:tc>
          <w:tcPr>
            <w:tcW w:type="dxa" w:w="1200"/>
          </w:tcPr>
          <w:p>
            <w:pPr>
              <w:spacing w:before="20" w:after="20"/>
            </w:pPr>
            <w:r>
              <w:rPr>
                <w:rFonts w:ascii="Calibri" w:hAnsi="Calibri"/>
                <w:b w:val="0"/>
                <w:i w:val="0"/>
                <w:color w:val="1A2B33"/>
                <w:sz w:val="18"/>
              </w:rPr>
              <w:t>Avanzado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Antropometría</w:t>
      </w:r>
    </w:p>
    <w:p>
      <w:pPr>
        <w:spacing w:before="40" w:after="60" w:line="276" w:lineRule="auto"/>
      </w:pPr>
      <w:r>
        <w:rPr>
          <w:rFonts w:ascii="Calibri" w:hAnsi="Calibri"/>
          <w:b w:val="0"/>
          <w:i w:val="0"/>
          <w:color w:val="1A2B33"/>
          <w:sz w:val="19"/>
        </w:rPr>
        <w:t>Peso, perímetros, pliegues</w:t>
      </w:r>
    </w:p>
    <w:p>
      <w:pPr>
        <w:spacing w:before="60" w:after="20" w:line="276" w:lineRule="auto"/>
      </w:pPr>
      <w:r>
        <w:rPr>
          <w:rFonts w:ascii="Calibri" w:hAnsi="Calibri"/>
          <w:b/>
          <w:i w:val="0"/>
          <w:color w:val="0A3E3A"/>
          <w:sz w:val="20"/>
        </w:rPr>
        <w:t>Clínica</w:t>
      </w:r>
    </w:p>
    <w:p>
      <w:pPr>
        <w:spacing w:before="40" w:after="60" w:line="276" w:lineRule="auto"/>
      </w:pPr>
      <w:r>
        <w:rPr>
          <w:rFonts w:ascii="Calibri" w:hAnsi="Calibri"/>
          <w:b w:val="0"/>
          <w:i w:val="0"/>
          <w:color w:val="1A2B33"/>
          <w:sz w:val="19"/>
        </w:rPr>
        <w:t>BIA y otros métodos</w:t>
      </w:r>
    </w:p>
    <w:p>
      <w:pPr>
        <w:spacing w:before="60" w:after="20" w:line="276" w:lineRule="auto"/>
      </w:pPr>
      <w:r>
        <w:rPr>
          <w:rFonts w:ascii="Calibri" w:hAnsi="Calibri"/>
          <w:b/>
          <w:i w:val="0"/>
          <w:color w:val="0A3E3A"/>
          <w:sz w:val="20"/>
        </w:rPr>
        <w:t>Datos personales</w:t>
      </w:r>
    </w:p>
    <w:p>
      <w:pPr>
        <w:spacing w:before="40" w:after="60" w:line="276" w:lineRule="auto"/>
      </w:pPr>
      <w:r>
        <w:rPr>
          <w:rFonts w:ascii="Calibri" w:hAnsi="Calibri"/>
          <w:b w:val="0"/>
          <w:i w:val="0"/>
          <w:color w:val="1A2B33"/>
          <w:sz w:val="19"/>
        </w:rPr>
        <w:t>Paciente (usar código)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Tendencia de composición</w:t>
            </w:r>
          </w:p>
        </w:tc>
        <w:tc>
          <w:tcPr>
            <w:tcW w:type="dxa" w:w="1700"/>
          </w:tcPr>
          <w:p>
            <w:pPr>
              <w:spacing w:before="20" w:after="20"/>
            </w:pPr>
            <w:r>
              <w:rPr>
                <w:rFonts w:ascii="Calibri" w:hAnsi="Calibri"/>
                <w:b w:val="0"/>
                <w:i w:val="0"/>
                <w:color w:val="1A2B33"/>
                <w:sz w:val="18"/>
              </w:rPr>
              <w:t>COMPARACIÓN</w:t>
            </w:r>
          </w:p>
        </w:tc>
        <w:tc>
          <w:tcPr>
            <w:tcW w:type="dxa" w:w="1560"/>
          </w:tcPr>
          <w:p>
            <w:pPr>
              <w:spacing w:before="20" w:after="20"/>
            </w:pPr>
            <w:r>
              <w:rPr>
                <w:rFonts w:ascii="Calibri" w:hAnsi="Calibri"/>
                <w:b w:val="0"/>
                <w:i w:val="0"/>
                <w:color w:val="1A2B33"/>
                <w:sz w:val="18"/>
              </w:rPr>
              <w:t>por método</w:t>
            </w:r>
          </w:p>
        </w:tc>
        <w:tc>
          <w:tcPr>
            <w:tcW w:type="dxa" w:w="3100"/>
          </w:tcPr>
          <w:p>
            <w:pPr>
              <w:spacing w:before="20" w:after="20"/>
            </w:pPr>
            <w:r>
              <w:rPr>
                <w:rFonts w:ascii="Calibri" w:hAnsi="Calibri"/>
                <w:b w:val="0"/>
                <w:i w:val="0"/>
                <w:color w:val="1A2B33"/>
                <w:sz w:val="18"/>
              </w:rPr>
              <w:t>Depende de evaluaciones sucesivas</w:t>
            </w:r>
          </w:p>
        </w:tc>
      </w:tr>
      <w:tr>
        <w:tc>
          <w:tcPr>
            <w:tcW w:type="dxa" w:w="3000"/>
            <w:shd w:val="clear" w:color="auto" w:fill="F6F8F8"/>
          </w:tcPr>
          <w:p>
            <w:pPr>
              <w:spacing w:before="20" w:after="20"/>
            </w:pPr>
            <w:r>
              <w:rPr>
                <w:rFonts w:ascii="Calibri" w:hAnsi="Calibri"/>
                <w:b w:val="0"/>
                <w:i w:val="0"/>
                <w:color w:val="1A2B33"/>
                <w:sz w:val="18"/>
              </w:rPr>
              <w:t>Reporte de seguimiento</w:t>
            </w:r>
          </w:p>
        </w:tc>
        <w:tc>
          <w:tcPr>
            <w:tcW w:type="dxa" w:w="1700"/>
            <w:shd w:val="clear" w:color="auto" w:fill="F6F8F8"/>
          </w:tcPr>
          <w:p>
            <w:pPr>
              <w:spacing w:before="20" w:after="20"/>
            </w:pPr>
            <w:r>
              <w:rPr>
                <w:rFonts w:ascii="Calibri" w:hAnsi="Calibri"/>
                <w:b w:val="0"/>
                <w:i w:val="0"/>
                <w:color w:val="1A2B33"/>
                <w:sz w:val="18"/>
              </w:rPr>
              <w:t>INFORME</w:t>
            </w:r>
          </w:p>
        </w:tc>
        <w:tc>
          <w:tcPr>
            <w:tcW w:type="dxa" w:w="1560"/>
            <w:shd w:val="clear" w:color="auto" w:fill="F6F8F8"/>
          </w:tcPr>
          <w:p>
            <w:pPr>
              <w:spacing w:before="20" w:after="20"/>
            </w:pPr>
            <w:r>
              <w:rPr>
                <w:rFonts w:ascii="Calibri" w:hAnsi="Calibri"/>
                <w:b w:val="0"/>
                <w:i w:val="0"/>
                <w:color w:val="1A2B33"/>
                <w:sz w:val="18"/>
              </w:rPr>
              <w:t>estructura</w:t>
            </w:r>
          </w:p>
        </w:tc>
        <w:tc>
          <w:tcPr>
            <w:tcW w:type="dxa" w:w="3100"/>
            <w:shd w:val="clear" w:color="auto" w:fill="F6F8F8"/>
          </w:tcPr>
          <w:p>
            <w:pPr>
              <w:spacing w:before="20" w:after="20"/>
            </w:pPr>
            <w:r>
              <w:rPr>
                <w:rFonts w:ascii="Calibri" w:hAnsi="Calibri"/>
                <w:b w:val="0"/>
                <w:i w:val="0"/>
                <w:color w:val="1A2B33"/>
                <w:sz w:val="18"/>
              </w:rPr>
              <w:t>Depende del registro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PACIENTES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EVALUACIONES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(PERIMETROS/PLIEGUES/BIA/OTROS)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COMPARACION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SEGUIMIENTO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MEDICIONES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COMPARACION</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SEGUIMIENTO</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20 hojas (20 visibles y 0 ocultas o auxiliares). Incorpora aproximadamente 687 fórmulas, 5 gráficos, 15 tablas estructuradas y 34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Paciente ficticio con dos evaluaciones separadas en el tiempo.</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registran perímetros/pliegues/BIA con su protocolo.</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compara la tendencia con el mismo método.</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Se interpreta el cambio evitando mezclar métodos distintos.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REGLA DE IMPLEMENTACIÓN</w:t>
            </w:r>
          </w:p>
        </w:tc>
        <w:tc>
          <w:tcPr>
            <w:tcW w:type="dxa" w:w="2600"/>
          </w:tcPr>
          <w:p>
            <w:pPr>
              <w:spacing w:before="20" w:after="20"/>
            </w:pPr>
            <w:r>
              <w:rPr>
                <w:rFonts w:ascii="Calibri" w:hAnsi="Calibri"/>
                <w:b w:val="0"/>
                <w:i w:val="0"/>
                <w:color w:val="1A2B33"/>
                <w:sz w:val="18"/>
              </w:rPr>
              <w:t>Comparar tendencias con mismo método/dispositivo/protocolo</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Seguimiento</w:t>
            </w:r>
          </w:p>
        </w:tc>
        <w:tc>
          <w:tcPr>
            <w:tcW w:type="dxa" w:w="2000"/>
          </w:tcPr>
          <w:p>
            <w:pPr>
              <w:spacing w:before="20" w:after="20"/>
            </w:pPr>
            <w:r>
              <w:rPr>
                <w:rFonts w:ascii="Calibri" w:hAnsi="Calibri"/>
                <w:b w:val="0"/>
                <w:i w:val="0"/>
                <w:color w:val="1A2B33"/>
                <w:sz w:val="18"/>
              </w:rPr>
              <w:t>Métodos no intercambiables</w:t>
            </w:r>
          </w:p>
        </w:tc>
      </w:tr>
      <w:tr>
        <w:tc>
          <w:tcPr>
            <w:tcW w:type="dxa" w:w="1500"/>
            <w:shd w:val="clear" w:color="auto" w:fill="F6F8F8"/>
          </w:tcPr>
          <w:p>
            <w:pPr>
              <w:spacing w:before="20" w:after="20"/>
            </w:pPr>
            <w:r>
              <w:rPr>
                <w:rFonts w:ascii="Calibri" w:hAnsi="Calibri"/>
                <w:b w:val="0"/>
                <w:i w:val="0"/>
                <w:color w:val="1A2B33"/>
                <w:sz w:val="18"/>
              </w:rPr>
              <w:t>CRITERIO</w:t>
            </w:r>
          </w:p>
        </w:tc>
        <w:tc>
          <w:tcPr>
            <w:tcW w:type="dxa" w:w="2600"/>
            <w:shd w:val="clear" w:color="auto" w:fill="F6F8F8"/>
          </w:tcPr>
          <w:p>
            <w:pPr>
              <w:spacing w:before="20" w:after="20"/>
            </w:pPr>
            <w:r>
              <w:rPr>
                <w:rFonts w:ascii="Calibri" w:hAnsi="Calibri"/>
                <w:b w:val="0"/>
                <w:i w:val="0"/>
                <w:color w:val="1A2B33"/>
                <w:sz w:val="18"/>
              </w:rPr>
              <w:t>IMC y antropometría (WHO TRS 854)</w:t>
            </w:r>
          </w:p>
        </w:tc>
        <w:tc>
          <w:tcPr>
            <w:tcW w:type="dxa" w:w="1500"/>
            <w:shd w:val="clear" w:color="auto" w:fill="F6F8F8"/>
          </w:tcPr>
          <w:p>
            <w:pPr>
              <w:spacing w:before="20" w:after="20"/>
            </w:pPr>
            <w:r>
              <w:rPr>
                <w:rFonts w:ascii="Calibri" w:hAnsi="Calibri"/>
                <w:b w:val="0"/>
                <w:i w:val="0"/>
                <w:color w:val="1A2B33"/>
                <w:sz w:val="18"/>
              </w:rPr>
              <w:t>Adultos</w:t>
            </w:r>
          </w:p>
        </w:tc>
        <w:tc>
          <w:tcPr>
            <w:tcW w:type="dxa" w:w="1760"/>
            <w:shd w:val="clear" w:color="auto" w:fill="F6F8F8"/>
          </w:tcPr>
          <w:p>
            <w:pPr>
              <w:spacing w:before="20" w:after="20"/>
            </w:pPr>
            <w:r>
              <w:rPr>
                <w:rFonts w:ascii="Calibri" w:hAnsi="Calibri"/>
                <w:b w:val="0"/>
                <w:i w:val="0"/>
                <w:color w:val="1A2B33"/>
                <w:sz w:val="18"/>
              </w:rPr>
              <w:t>Clasificación</w:t>
            </w:r>
          </w:p>
        </w:tc>
        <w:tc>
          <w:tcPr>
            <w:tcW w:type="dxa" w:w="2000"/>
            <w:shd w:val="clear" w:color="auto" w:fill="F6F8F8"/>
          </w:tcPr>
          <w:p>
            <w:pPr>
              <w:spacing w:before="20" w:after="20"/>
            </w:pPr>
            <w:r>
              <w:rPr>
                <w:rFonts w:ascii="Calibri" w:hAnsi="Calibri"/>
                <w:b w:val="0"/>
                <w:i w:val="0"/>
                <w:color w:val="1A2B33"/>
                <w:sz w:val="18"/>
              </w:rPr>
              <w:t>Referencia documentada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OMS</w:t>
            </w:r>
          </w:p>
        </w:tc>
        <w:tc>
          <w:tcPr>
            <w:tcW w:type="dxa" w:w="2600"/>
          </w:tcPr>
          <w:p>
            <w:pPr>
              <w:spacing w:before="20" w:after="20"/>
            </w:pPr>
            <w:r>
              <w:rPr>
                <w:rFonts w:ascii="Calibri" w:hAnsi="Calibri"/>
                <w:b w:val="0"/>
                <w:i w:val="0"/>
                <w:color w:val="1A2B33"/>
                <w:sz w:val="17"/>
              </w:rPr>
              <w:t>Physical status: anthropometry (WHO TRS 854)</w:t>
            </w:r>
          </w:p>
        </w:tc>
        <w:tc>
          <w:tcPr>
            <w:tcW w:type="dxa" w:w="700"/>
          </w:tcPr>
          <w:p>
            <w:pPr>
              <w:spacing w:before="20" w:after="20"/>
            </w:pPr>
            <w:r>
              <w:rPr>
                <w:rFonts w:ascii="Calibri" w:hAnsi="Calibri"/>
                <w:b w:val="0"/>
                <w:i w:val="0"/>
                <w:color w:val="1A2B33"/>
                <w:sz w:val="17"/>
              </w:rPr>
              <w:t>s/f</w:t>
            </w:r>
          </w:p>
        </w:tc>
        <w:tc>
          <w:tcPr>
            <w:tcW w:type="dxa" w:w="2160"/>
          </w:tcPr>
          <w:p>
            <w:pPr>
              <w:spacing w:before="20" w:after="20"/>
            </w:pPr>
            <w:r>
              <w:rPr>
                <w:rFonts w:ascii="Calibri" w:hAnsi="Calibri"/>
                <w:b w:val="0"/>
                <w:i w:val="0"/>
                <w:color w:val="1A2B33"/>
                <w:sz w:val="17"/>
              </w:rPr>
              <w:t>IMC/antropometría</w:t>
            </w:r>
          </w:p>
        </w:tc>
        <w:tc>
          <w:tcPr>
            <w:tcW w:type="dxa" w:w="1700"/>
          </w:tcPr>
          <w:p>
            <w:pPr>
              <w:spacing w:before="20" w:after="20"/>
            </w:pPr>
            <w:r>
              <w:rPr>
                <w:rFonts w:ascii="Calibri" w:hAnsi="Calibri"/>
                <w:b w:val="0"/>
                <w:i w:val="0"/>
                <w:color w:val="1A2B33"/>
                <w:sz w:val="17"/>
              </w:rPr>
              <w:t>NORMA_OFICIAL</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Los métodos y dispositivos de composición corporal no son intercambiables. La calidad del seguimiento depende de mantener constantes el método, el dispositivo y el protocolo. Estado declarado pendiente de recálculo comercial.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NMX-12 · Calculadora de Grasa y Composición Corporal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NMX-36 · Calculadora Especializada de Plicometría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NMX-16 · Calculadora de Somatotipo y Somatocarta (Heath–Carter)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NMX-41 · Software Acompañante para Plicómetro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NMX-28-INTEGRADO · Pack Antropometría Integrado (un solo archivo)</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NMX-06</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NMX-06_QA_REAL_CORREGIDO_v1_0_1_COMERCIAL_PRE_P19_REPARADO_PRE_P19.xlsx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v1.0.1</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NMX-06 · Registro y Seguimiento de Composición Corporal</w:t>
            </w:r>
          </w:p>
          <w:p>
            <w:pPr>
              <w:spacing w:before="80" w:after="0"/>
              <w:jc w:val="center"/>
            </w:pPr>
            <w:r>
              <w:rPr>
                <w:rFonts w:ascii="Calibri" w:hAnsi="Calibri"/>
                <w:b w:val="0"/>
                <w:i w:val="0"/>
                <w:color w:val="EDF2F1"/>
                <w:sz w:val="20"/>
              </w:rPr>
              <w:t>Fase 5 · Clínica · v1.0.1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NMX-06 · Registro y Seguimiento de Composición Corporal</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