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NMX-08</w:t>
      </w:r>
    </w:p>
    <w:p>
      <w:pPr>
        <w:spacing w:before="0" w:after="160" w:line="252" w:lineRule="auto"/>
      </w:pPr>
      <w:r>
        <w:rPr>
          <w:rFonts w:ascii="Calibri" w:hAnsi="Calibri"/>
          <w:b/>
          <w:i w:val="0"/>
          <w:color w:val="1A2B33"/>
          <w:sz w:val="38"/>
        </w:rPr>
        <w:t>Historia Clínica de Nutrición Deportiva</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5 · Clínica</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Historia clínica deportiva</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v1.0</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(Windows)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NMX-08_Historia_Clinica_Nutricion_Deportiva_v1_0_REDISENO_NMX22(3)_COMERCIAL_PRE_P19_REPARADO_PRE_P19.xlsx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NMX-08 · Historia Clínica de Nutrición Deportiva</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5 · Clínica</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Historia clínica deportiva</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Docente; Nutricionista (apoyo clínico profesional); Estudiante de Nutrición y Dietética (avanzado)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la historia clínica del deportista (carga, composición, hidratación, suplementos, tamizaje) y calcular la disponibilidad energética hacia un diagnóstico y plan.</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Datos del deportista; Actividad física: Carga y sesiones; Antropometría: Composición corporal; Clínica: Hidratación, suplementos, tamizaje</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Disponibilidad energética (EA); Tasa de sudoración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v1.0</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(Windows)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NMX-08 es la historia clínica de nutrición deportiva. Registra identificación, entrenamiento y sesiones, antropometría, hidratación (tasa de sudoración), suplementos y tamizaje, y calcula la disponibilidad energética (EA = (ingesta − gasto por ejercicio) / masa libre de grasa, en kcal/kg MLG/día), indicador central del modelo RED-S. El umbral orientador de 30 kcal/kg MLG/día proviene de estudios en mujeres deportistas y no es un punto de corte diagnóstico individual. Pertenece a la Fase 5.</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Registrar la historia clínica del deportista (carga, composición, hidratación, suplementos, tamizaje) y calcular la disponibilidad energética hacia un diagnóstico y plan.</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datos del deportista y su carga.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la disponibilidad energética (EA).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Estructurar diagnóstico y plan deportivo.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 (avanzado)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Deportistas; modelo de disponibilidad energética y deficiencia energética relativa en el deporte (RED-S).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Registro deportivo</w:t>
            </w:r>
          </w:p>
        </w:tc>
        <w:tc>
          <w:tcPr>
            <w:tcW w:type="dxa" w:w="2500"/>
          </w:tcPr>
          <w:p>
            <w:pPr>
              <w:spacing w:before="20" w:after="20"/>
            </w:pPr>
            <w:r>
              <w:rPr>
                <w:rFonts w:ascii="Calibri" w:hAnsi="Calibri"/>
                <w:b w:val="0"/>
                <w:i w:val="0"/>
                <w:color w:val="1A2B33"/>
                <w:sz w:val="18"/>
              </w:rPr>
              <w:t>Documenta carga, hidratación y suplementos</w:t>
            </w:r>
          </w:p>
        </w:tc>
        <w:tc>
          <w:tcPr>
            <w:tcW w:type="dxa" w:w="2000"/>
          </w:tcPr>
          <w:p>
            <w:pPr>
              <w:spacing w:before="20" w:after="20"/>
            </w:pPr>
            <w:r>
              <w:rPr>
                <w:rFonts w:ascii="Calibri" w:hAnsi="Calibri"/>
                <w:b w:val="0"/>
                <w:i w:val="0"/>
                <w:color w:val="1A2B33"/>
                <w:sz w:val="18"/>
              </w:rPr>
              <w:t>Datos del deportista</w:t>
            </w:r>
          </w:p>
        </w:tc>
        <w:tc>
          <w:tcPr>
            <w:tcW w:type="dxa" w:w="2160"/>
          </w:tcPr>
          <w:p>
            <w:pPr>
              <w:spacing w:before="20" w:after="20"/>
            </w:pPr>
            <w:r>
              <w:rPr>
                <w:rFonts w:ascii="Calibri" w:hAnsi="Calibri"/>
                <w:b w:val="0"/>
                <w:i w:val="0"/>
                <w:color w:val="1A2B33"/>
                <w:sz w:val="18"/>
              </w:rPr>
              <w:t>Historia deportiva</w:t>
            </w:r>
          </w:p>
        </w:tc>
        <w:tc>
          <w:tcPr>
            <w:tcW w:type="dxa" w:w="1200"/>
          </w:tcPr>
          <w:p>
            <w:pPr>
              <w:spacing w:before="20" w:after="20"/>
            </w:pPr>
            <w:r>
              <w:rPr>
                <w:rFonts w:ascii="Calibri" w:hAnsi="Calibri"/>
                <w:b w:val="0"/>
                <w:i w:val="0"/>
                <w:color w:val="1A2B33"/>
                <w:sz w:val="18"/>
              </w:rPr>
              <w:t>Avanzado</w:t>
            </w:r>
          </w:p>
        </w:tc>
      </w:tr>
      <w:tr>
        <w:tc>
          <w:tcPr>
            <w:tcW w:type="dxa" w:w="1500"/>
            <w:shd w:val="clear" w:color="auto" w:fill="F6F8F8"/>
          </w:tcPr>
          <w:p>
            <w:pPr>
              <w:spacing w:before="20" w:after="20"/>
            </w:pPr>
            <w:r>
              <w:rPr>
                <w:rFonts w:ascii="Calibri" w:hAnsi="Calibri"/>
                <w:b w:val="0"/>
                <w:i w:val="0"/>
                <w:color w:val="1A2B33"/>
                <w:sz w:val="18"/>
              </w:rPr>
              <w:t>Disponibilidad energética</w:t>
            </w:r>
          </w:p>
        </w:tc>
        <w:tc>
          <w:tcPr>
            <w:tcW w:type="dxa" w:w="2500"/>
            <w:shd w:val="clear" w:color="auto" w:fill="F6F8F8"/>
          </w:tcPr>
          <w:p>
            <w:pPr>
              <w:spacing w:before="20" w:after="20"/>
            </w:pPr>
            <w:r>
              <w:rPr>
                <w:rFonts w:ascii="Calibri" w:hAnsi="Calibri"/>
                <w:b w:val="0"/>
                <w:i w:val="0"/>
                <w:color w:val="1A2B33"/>
                <w:sz w:val="18"/>
              </w:rPr>
              <w:t>Calcula EA en kcal/kg MLG/día</w:t>
            </w:r>
          </w:p>
        </w:tc>
        <w:tc>
          <w:tcPr>
            <w:tcW w:type="dxa" w:w="2000"/>
            <w:shd w:val="clear" w:color="auto" w:fill="F6F8F8"/>
          </w:tcPr>
          <w:p>
            <w:pPr>
              <w:spacing w:before="20" w:after="20"/>
            </w:pPr>
            <w:r>
              <w:rPr>
                <w:rFonts w:ascii="Calibri" w:hAnsi="Calibri"/>
                <w:b w:val="0"/>
                <w:i w:val="0"/>
                <w:color w:val="1A2B33"/>
                <w:sz w:val="18"/>
              </w:rPr>
              <w:t>Ingesta, gasto, MLG</w:t>
            </w:r>
          </w:p>
        </w:tc>
        <w:tc>
          <w:tcPr>
            <w:tcW w:type="dxa" w:w="2160"/>
            <w:shd w:val="clear" w:color="auto" w:fill="F6F8F8"/>
          </w:tcPr>
          <w:p>
            <w:pPr>
              <w:spacing w:before="20" w:after="20"/>
            </w:pPr>
            <w:r>
              <w:rPr>
                <w:rFonts w:ascii="Calibri" w:hAnsi="Calibri"/>
                <w:b w:val="0"/>
                <w:i w:val="0"/>
                <w:color w:val="1A2B33"/>
                <w:sz w:val="18"/>
              </w:rPr>
              <w:t>EA</w:t>
            </w:r>
          </w:p>
        </w:tc>
        <w:tc>
          <w:tcPr>
            <w:tcW w:type="dxa" w:w="1200"/>
            <w:shd w:val="clear" w:color="auto" w:fill="F6F8F8"/>
          </w:tcPr>
          <w:p>
            <w:pPr>
              <w:spacing w:before="20" w:after="20"/>
            </w:pPr>
            <w:r>
              <w:rPr>
                <w:rFonts w:ascii="Calibri" w:hAnsi="Calibri"/>
                <w:b w:val="0"/>
                <w:i w:val="0"/>
                <w:color w:val="1A2B33"/>
                <w:sz w:val="18"/>
              </w:rPr>
              <w:t>Avanzado</w:t>
            </w:r>
          </w:p>
        </w:tc>
      </w:tr>
      <w:tr>
        <w:tc>
          <w:tcPr>
            <w:tcW w:type="dxa" w:w="1500"/>
          </w:tcPr>
          <w:p>
            <w:pPr>
              <w:spacing w:before="20" w:after="20"/>
            </w:pPr>
            <w:r>
              <w:rPr>
                <w:rFonts w:ascii="Calibri" w:hAnsi="Calibri"/>
                <w:b w:val="0"/>
                <w:i w:val="0"/>
                <w:color w:val="1A2B33"/>
                <w:sz w:val="18"/>
              </w:rPr>
              <w:t>Diagnóstico y plan</w:t>
            </w:r>
          </w:p>
        </w:tc>
        <w:tc>
          <w:tcPr>
            <w:tcW w:type="dxa" w:w="2500"/>
          </w:tcPr>
          <w:p>
            <w:pPr>
              <w:spacing w:before="20" w:after="20"/>
            </w:pPr>
            <w:r>
              <w:rPr>
                <w:rFonts w:ascii="Calibri" w:hAnsi="Calibri"/>
                <w:b w:val="0"/>
                <w:i w:val="0"/>
                <w:color w:val="1A2B33"/>
                <w:sz w:val="18"/>
              </w:rPr>
              <w:t>Estructura el plan deportivo</w:t>
            </w:r>
          </w:p>
        </w:tc>
        <w:tc>
          <w:tcPr>
            <w:tcW w:type="dxa" w:w="2000"/>
          </w:tcPr>
          <w:p>
            <w:pPr>
              <w:spacing w:before="20" w:after="20"/>
            </w:pPr>
            <w:r>
              <w:rPr>
                <w:rFonts w:ascii="Calibri" w:hAnsi="Calibri"/>
                <w:b w:val="0"/>
                <w:i w:val="0"/>
                <w:color w:val="1A2B33"/>
                <w:sz w:val="18"/>
              </w:rPr>
              <w:t>Evaluación</w:t>
            </w:r>
          </w:p>
        </w:tc>
        <w:tc>
          <w:tcPr>
            <w:tcW w:type="dxa" w:w="2160"/>
          </w:tcPr>
          <w:p>
            <w:pPr>
              <w:spacing w:before="20" w:after="20"/>
            </w:pPr>
            <w:r>
              <w:rPr>
                <w:rFonts w:ascii="Calibri" w:hAnsi="Calibri"/>
                <w:b w:val="0"/>
                <w:i w:val="0"/>
                <w:color w:val="1A2B33"/>
                <w:sz w:val="18"/>
              </w:rPr>
              <w:t>Plan documentado</w:t>
            </w:r>
          </w:p>
        </w:tc>
        <w:tc>
          <w:tcPr>
            <w:tcW w:type="dxa" w:w="1200"/>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Datos del deportista</w:t>
      </w:r>
    </w:p>
    <w:p>
      <w:pPr>
        <w:spacing w:before="60" w:after="20" w:line="276" w:lineRule="auto"/>
      </w:pPr>
      <w:r>
        <w:rPr>
          <w:rFonts w:ascii="Calibri" w:hAnsi="Calibri"/>
          <w:b/>
          <w:i w:val="0"/>
          <w:color w:val="0A3E3A"/>
          <w:sz w:val="20"/>
        </w:rPr>
        <w:t>Actividad física</w:t>
      </w:r>
    </w:p>
    <w:p>
      <w:pPr>
        <w:spacing w:before="40" w:after="60" w:line="276" w:lineRule="auto"/>
      </w:pPr>
      <w:r>
        <w:rPr>
          <w:rFonts w:ascii="Calibri" w:hAnsi="Calibri"/>
          <w:b w:val="0"/>
          <w:i w:val="0"/>
          <w:color w:val="1A2B33"/>
          <w:sz w:val="19"/>
        </w:rPr>
        <w:t>Carga y sesiones</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Composición corporal</w:t>
      </w:r>
    </w:p>
    <w:p>
      <w:pPr>
        <w:spacing w:before="60" w:after="20" w:line="276" w:lineRule="auto"/>
      </w:pPr>
      <w:r>
        <w:rPr>
          <w:rFonts w:ascii="Calibri" w:hAnsi="Calibri"/>
          <w:b/>
          <w:i w:val="0"/>
          <w:color w:val="0A3E3A"/>
          <w:sz w:val="20"/>
        </w:rPr>
        <w:t>Clínica</w:t>
      </w:r>
    </w:p>
    <w:p>
      <w:pPr>
        <w:spacing w:before="40" w:after="60" w:line="276" w:lineRule="auto"/>
      </w:pPr>
      <w:r>
        <w:rPr>
          <w:rFonts w:ascii="Calibri" w:hAnsi="Calibri"/>
          <w:b w:val="0"/>
          <w:i w:val="0"/>
          <w:color w:val="1A2B33"/>
          <w:sz w:val="19"/>
        </w:rPr>
        <w:t>Hidratación, suplementos, tamizaje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Disponibilidad energética (EA)</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kcal/kg MLG/día</w:t>
            </w:r>
          </w:p>
        </w:tc>
        <w:tc>
          <w:tcPr>
            <w:tcW w:type="dxa" w:w="3100"/>
          </w:tcPr>
          <w:p>
            <w:pPr>
              <w:spacing w:before="20" w:after="20"/>
            </w:pPr>
            <w:r>
              <w:rPr>
                <w:rFonts w:ascii="Calibri" w:hAnsi="Calibri"/>
                <w:b w:val="0"/>
                <w:i w:val="0"/>
                <w:color w:val="1A2B33"/>
                <w:sz w:val="18"/>
              </w:rPr>
              <w:t>Depende de ingesta, gasto y MLG</w:t>
            </w:r>
          </w:p>
        </w:tc>
      </w:tr>
      <w:tr>
        <w:tc>
          <w:tcPr>
            <w:tcW w:type="dxa" w:w="3000"/>
            <w:shd w:val="clear" w:color="auto" w:fill="F6F8F8"/>
          </w:tcPr>
          <w:p>
            <w:pPr>
              <w:spacing w:before="20" w:after="20"/>
            </w:pPr>
            <w:r>
              <w:rPr>
                <w:rFonts w:ascii="Calibri" w:hAnsi="Calibri"/>
                <w:b w:val="0"/>
                <w:i w:val="0"/>
                <w:color w:val="1A2B33"/>
                <w:sz w:val="18"/>
              </w:rPr>
              <w:t>Tasa de sudoración</w:t>
            </w:r>
          </w:p>
        </w:tc>
        <w:tc>
          <w:tcPr>
            <w:tcW w:type="dxa" w:w="1700"/>
            <w:shd w:val="clear" w:color="auto" w:fill="F6F8F8"/>
          </w:tcPr>
          <w:p>
            <w:pPr>
              <w:spacing w:before="20" w:after="20"/>
            </w:pPr>
            <w:r>
              <w:rPr>
                <w:rFonts w:ascii="Calibri" w:hAnsi="Calibri"/>
                <w:b w:val="0"/>
                <w:i w:val="0"/>
                <w:color w:val="1A2B33"/>
                <w:sz w:val="18"/>
              </w:rPr>
              <w:t>CÁLCULO</w:t>
            </w:r>
          </w:p>
        </w:tc>
        <w:tc>
          <w:tcPr>
            <w:tcW w:type="dxa" w:w="1560"/>
            <w:shd w:val="clear" w:color="auto" w:fill="F6F8F8"/>
          </w:tcPr>
          <w:p>
            <w:pPr>
              <w:spacing w:before="20" w:after="20"/>
            </w:pPr>
            <w:r>
              <w:rPr>
                <w:rFonts w:ascii="Calibri" w:hAnsi="Calibri"/>
                <w:b w:val="0"/>
                <w:i w:val="0"/>
                <w:color w:val="1A2B33"/>
                <w:sz w:val="18"/>
              </w:rPr>
              <w:t>L/h</w:t>
            </w:r>
          </w:p>
        </w:tc>
        <w:tc>
          <w:tcPr>
            <w:tcW w:type="dxa" w:w="3100"/>
            <w:shd w:val="clear" w:color="auto" w:fill="F6F8F8"/>
          </w:tcPr>
          <w:p>
            <w:pPr>
              <w:spacing w:before="20" w:after="20"/>
            </w:pPr>
            <w:r>
              <w:rPr>
                <w:rFonts w:ascii="Calibri" w:hAnsi="Calibri"/>
                <w:b w:val="0"/>
                <w:i w:val="0"/>
                <w:color w:val="1A2B33"/>
                <w:sz w:val="18"/>
              </w:rPr>
              <w:t>Depende de mediciones de hidratación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93"/>
        <w:gridCol w:w="593"/>
        <w:gridCol w:w="593"/>
        <w:gridCol w:w="593"/>
        <w:gridCol w:w="593"/>
        <w:gridCol w:w="593"/>
        <w:gridCol w:w="593"/>
        <w:gridCol w:w="593"/>
        <w:gridCol w:w="593"/>
        <w:gridCol w:w="593"/>
        <w:gridCol w:w="593"/>
        <w:gridCol w:w="593"/>
        <w:gridCol w:w="593"/>
        <w:gridCol w:w="593"/>
        <w:gridCol w:w="593"/>
        <w:gridCol w:w="593"/>
        <w:gridCol w:w="593"/>
      </w:tblGrid>
      <w:tr>
        <w:tc>
          <w:tcPr>
            <w:tcW w:type="dxa" w:w="593"/>
            <w:shd w:val="clear" w:color="auto" w:fill="EDF2F1"/>
          </w:tcPr>
          <w:p>
            <w:pPr>
              <w:spacing w:before="20" w:after="20"/>
              <w:jc w:val="center"/>
            </w:pPr>
            <w:r>
              <w:rPr>
                <w:rFonts w:ascii="Calibri" w:hAnsi="Calibri"/>
                <w:b/>
                <w:i w:val="0"/>
                <w:color w:val="0A3E3A"/>
                <w:sz w:val="15"/>
              </w:rPr>
              <w:t>INICIO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IDENTIFICACION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ENTRENAMIENTO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ANTROPOMETRIA</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HIDRATACION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SUPLEMENTOS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TAMIZAJE</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DIAGNOSTICO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IDENTIFICACION</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DIAGNOSTICO</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12 hojas (12 visibles y 0 ocultas o auxiliares). Incorpora aproximadamente 109 fórmulas, 0 gráficos, 0 tablas estructuradas y 9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Deportista ficticio con ingesta, gasto y MLG estimados.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registran carga, hidratación y suplementos.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calcula la disponibilidad energética.</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profesional interpreta la EA junto con el resto del tamizaje.</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Disponibilidad energética (EA)</w:t>
            </w:r>
          </w:p>
        </w:tc>
        <w:tc>
          <w:tcPr>
            <w:tcW w:type="dxa" w:w="1500"/>
          </w:tcPr>
          <w:p>
            <w:pPr>
              <w:spacing w:before="20" w:after="20"/>
            </w:pPr>
            <w:r>
              <w:rPr>
                <w:rFonts w:ascii="Calibri" w:hAnsi="Calibri"/>
                <w:b w:val="0"/>
                <w:i w:val="0"/>
                <w:color w:val="1A2B33"/>
                <w:sz w:val="18"/>
              </w:rPr>
              <w:t>Deportistas</w:t>
            </w:r>
          </w:p>
        </w:tc>
        <w:tc>
          <w:tcPr>
            <w:tcW w:type="dxa" w:w="1760"/>
          </w:tcPr>
          <w:p>
            <w:pPr>
              <w:spacing w:before="20" w:after="20"/>
            </w:pPr>
            <w:r>
              <w:rPr>
                <w:rFonts w:ascii="Calibri" w:hAnsi="Calibri"/>
                <w:b w:val="0"/>
                <w:i w:val="0"/>
                <w:color w:val="1A2B33"/>
                <w:sz w:val="18"/>
              </w:rPr>
              <w:t>Indicador RED-S</w:t>
            </w:r>
          </w:p>
        </w:tc>
        <w:tc>
          <w:tcPr>
            <w:tcW w:type="dxa" w:w="2000"/>
          </w:tcPr>
          <w:p>
            <w:pPr>
              <w:spacing w:before="20" w:after="20"/>
            </w:pPr>
            <w:r>
              <w:rPr>
                <w:rFonts w:ascii="Calibri" w:hAnsi="Calibri"/>
                <w:b w:val="0"/>
                <w:i w:val="0"/>
                <w:color w:val="1A2B33"/>
                <w:sz w:val="18"/>
              </w:rPr>
              <w:t>Umbral 30 kcal/kg MLG/día no es corte diagnóstico individual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Literatura RED-S / disponibilidad energética</w:t>
            </w:r>
          </w:p>
        </w:tc>
        <w:tc>
          <w:tcPr>
            <w:tcW w:type="dxa" w:w="2600"/>
          </w:tcPr>
          <w:p>
            <w:pPr>
              <w:spacing w:before="20" w:after="20"/>
            </w:pPr>
            <w:r>
              <w:rPr>
                <w:rFonts w:ascii="Calibri" w:hAnsi="Calibri"/>
                <w:b w:val="0"/>
                <w:i w:val="0"/>
                <w:color w:val="1A2B33"/>
                <w:sz w:val="17"/>
              </w:rPr>
              <w:t>Modelo de deficiencia energética relativa en el deporte</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Cálculo de EA</w:t>
            </w:r>
          </w:p>
        </w:tc>
        <w:tc>
          <w:tcPr>
            <w:tcW w:type="dxa" w:w="1700"/>
          </w:tcPr>
          <w:p>
            <w:pPr>
              <w:spacing w:before="20" w:after="20"/>
            </w:pPr>
            <w:r>
              <w:rPr>
                <w:rFonts w:ascii="Calibri" w:hAnsi="Calibri"/>
                <w:b w:val="0"/>
                <w:i w:val="0"/>
                <w:color w:val="1A2B33"/>
                <w:sz w:val="17"/>
              </w:rPr>
              <w:t>FUENTE_PRIMARIA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El umbral de 30 kcal/kg MLG/día es orientador, derivado de estudios en mujeres deportistas; no es un corte diagnóstico individual. La EA depende de una estimación fiable de ingesta, gasto y masa libre de grasa.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NMX-11 · Planificador Integrado de Entrenamiento y Nutrición</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NMX-33 · Planificador de Entrenamiento Semanal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NMX-20 · Formulario Integral de Evaluación (Adulto, Persona Mayor, Hospital, Deporte, TEM, Frisancho)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NMX-06 · Registro y Seguimiento de Composición Corporal</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NMX-08</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NMX-08_Historia_Clinica_Nutricion_Deportiva_v1_0_REDISENO_NMX22(3)_COMERCIAL_PRE_P19_REPARADO_PRE_P19.xlsx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v1.0</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NMX-08 · Historia Clínica de Nutrición Deportiva</w:t>
            </w:r>
          </w:p>
          <w:p>
            <w:pPr>
              <w:spacing w:before="80" w:after="0"/>
              <w:jc w:val="center"/>
            </w:pPr>
            <w:r>
              <w:rPr>
                <w:rFonts w:ascii="Calibri" w:hAnsi="Calibri"/>
                <w:b w:val="0"/>
                <w:i w:val="0"/>
                <w:color w:val="EDF2F1"/>
                <w:sz w:val="20"/>
              </w:rPr>
              <w:t>Fase 5 · Clínica · v1.0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NMX-08 · Historia Clínica de Nutrición Deportiva</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