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NMX-09</w:t>
      </w:r>
    </w:p>
    <w:p>
      <w:pPr>
        <w:spacing w:before="0" w:after="160" w:line="252" w:lineRule="auto"/>
      </w:pPr>
      <w:r>
        <w:rPr>
          <w:rFonts w:ascii="Calibri" w:hAnsi="Calibri"/>
          <w:b/>
          <w:i w:val="0"/>
          <w:color w:val="1A2B33"/>
          <w:sz w:val="38"/>
        </w:rPr>
        <w:t>Calculadora de Percentiles OMS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1 · Motores</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Motor de percentiles de crecimiento</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NMX-09_Calculadora_de_Percentiles_OMS_18CA_CORREGIDO_COMERCIAL_PRE_P19_REPARADO_PRE_P19.xlsx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NMX-09 · Calculadora de Percentiles OMS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1 · Motores</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Motor de percentiles de crecimiento</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Calcular percentiles y puntuaciones Z de crecimiento infantil mediante el método LMS de la OMS, con trazabilidad de los coeficientes oficiales.</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(meses), Peso</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Percentil peso/edad; Puntuación Z</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NMX-09 aplica el método LMS de los Patrones de Crecimiento Infantil de la OMS (2006) para transformar una medición antropométrica en percentil y puntuación Z. En su versión analizada incorpora el indicador peso para la edad (0–60 meses). Los coeficientes LMS provienen de las tablas oficiales de la OMS (hechos publicados), y la hoja FUENTES documenta su origen y nivel de verificación. Es un motor de la Fase 1 que provee la maquinaria de percentiles reutilizable por herramientas pediátricas de la suite.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Calcular percentiles y puntuaciones Z de crecimiento infantil mediante el método LMS de la OMS, con trazabilidad de los coeficientes oficiales.</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sexo, edad y peso del menor.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Obtener percentil/Z de peso para la edad (0–60 meses).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Consultar la procedencia oficial de los coeficientes LMS en FUENTES.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Población pediátrica 0–60 meses (peso para la edad), según WHO Child Growth Standards.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Cálculo LMS</w:t>
            </w:r>
          </w:p>
        </w:tc>
        <w:tc>
          <w:tcPr>
            <w:tcW w:type="dxa" w:w="2500"/>
          </w:tcPr>
          <w:p>
            <w:pPr>
              <w:spacing w:before="20" w:after="20"/>
            </w:pPr>
            <w:r>
              <w:rPr>
                <w:rFonts w:ascii="Calibri" w:hAnsi="Calibri"/>
                <w:b w:val="0"/>
                <w:i w:val="0"/>
                <w:color w:val="1A2B33"/>
                <w:sz w:val="18"/>
              </w:rPr>
              <w:t>Transforma la medición en percentil y Z mediante L, M, S</w:t>
            </w:r>
          </w:p>
        </w:tc>
        <w:tc>
          <w:tcPr>
            <w:tcW w:type="dxa" w:w="2000"/>
          </w:tcPr>
          <w:p>
            <w:pPr>
              <w:spacing w:before="20" w:after="20"/>
            </w:pPr>
            <w:r>
              <w:rPr>
                <w:rFonts w:ascii="Calibri" w:hAnsi="Calibri"/>
                <w:b w:val="0"/>
                <w:i w:val="0"/>
                <w:color w:val="1A2B33"/>
                <w:sz w:val="18"/>
              </w:rPr>
              <w:t>Sexo, edad, peso</w:t>
            </w:r>
          </w:p>
        </w:tc>
        <w:tc>
          <w:tcPr>
            <w:tcW w:type="dxa" w:w="2160"/>
          </w:tcPr>
          <w:p>
            <w:pPr>
              <w:spacing w:before="20" w:after="20"/>
            </w:pPr>
            <w:r>
              <w:rPr>
                <w:rFonts w:ascii="Calibri" w:hAnsi="Calibri"/>
                <w:b w:val="0"/>
                <w:i w:val="0"/>
                <w:color w:val="1A2B33"/>
                <w:sz w:val="18"/>
              </w:rPr>
              <w:t>Percentil y puntuación Z</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Auditoría de operaciones</w:t>
            </w:r>
          </w:p>
        </w:tc>
        <w:tc>
          <w:tcPr>
            <w:tcW w:type="dxa" w:w="2500"/>
            <w:shd w:val="clear" w:color="auto" w:fill="F6F8F8"/>
          </w:tcPr>
          <w:p>
            <w:pPr>
              <w:spacing w:before="20" w:after="20"/>
            </w:pPr>
            <w:r>
              <w:rPr>
                <w:rFonts w:ascii="Calibri" w:hAnsi="Calibri"/>
                <w:b w:val="0"/>
                <w:i w:val="0"/>
                <w:color w:val="1A2B33"/>
                <w:sz w:val="18"/>
              </w:rPr>
              <w:t>Muestra el desarrollo del cálculo</w:t>
            </w:r>
          </w:p>
        </w:tc>
        <w:tc>
          <w:tcPr>
            <w:tcW w:type="dxa" w:w="2000"/>
            <w:shd w:val="clear" w:color="auto" w:fill="F6F8F8"/>
          </w:tcPr>
          <w:p>
            <w:pPr>
              <w:spacing w:before="20" w:after="20"/>
            </w:pPr>
            <w:r>
              <w:rPr>
                <w:rFonts w:ascii="Calibri" w:hAnsi="Calibri"/>
                <w:b w:val="0"/>
                <w:i w:val="0"/>
                <w:color w:val="1A2B33"/>
                <w:sz w:val="18"/>
              </w:rPr>
              <w:t>Datos ingresados</w:t>
            </w:r>
          </w:p>
        </w:tc>
        <w:tc>
          <w:tcPr>
            <w:tcW w:type="dxa" w:w="2160"/>
            <w:shd w:val="clear" w:color="auto" w:fill="F6F8F8"/>
          </w:tcPr>
          <w:p>
            <w:pPr>
              <w:spacing w:before="20" w:after="20"/>
            </w:pPr>
            <w:r>
              <w:rPr>
                <w:rFonts w:ascii="Calibri" w:hAnsi="Calibri"/>
                <w:b w:val="0"/>
                <w:i w:val="0"/>
                <w:color w:val="1A2B33"/>
                <w:sz w:val="18"/>
              </w:rPr>
              <w:t>Trazabilidad numérica</w:t>
            </w:r>
          </w:p>
        </w:tc>
        <w:tc>
          <w:tcPr>
            <w:tcW w:type="dxa" w:w="1200"/>
            <w:shd w:val="clear" w:color="auto" w:fill="F6F8F8"/>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 (meses), Peso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Percentil peso/edad</w:t>
            </w:r>
          </w:p>
        </w:tc>
        <w:tc>
          <w:tcPr>
            <w:tcW w:type="dxa" w:w="1700"/>
          </w:tcPr>
          <w:p>
            <w:pPr>
              <w:spacing w:before="20" w:after="20"/>
            </w:pPr>
            <w:r>
              <w:rPr>
                <w:rFonts w:ascii="Calibri" w:hAnsi="Calibri"/>
                <w:b w:val="0"/>
                <w:i w:val="0"/>
                <w:color w:val="1A2B33"/>
                <w:sz w:val="18"/>
              </w:rPr>
              <w:t>INDICADOR</w:t>
            </w:r>
          </w:p>
        </w:tc>
        <w:tc>
          <w:tcPr>
            <w:tcW w:type="dxa" w:w="1560"/>
          </w:tcPr>
          <w:p>
            <w:pPr>
              <w:spacing w:before="20" w:after="20"/>
            </w:pPr>
            <w:r>
              <w:rPr>
                <w:rFonts w:ascii="Calibri" w:hAnsi="Calibri"/>
                <w:b w:val="0"/>
                <w:i w:val="0"/>
                <w:color w:val="1A2B33"/>
                <w:sz w:val="18"/>
              </w:rPr>
              <w:t>percentil</w:t>
            </w:r>
          </w:p>
        </w:tc>
        <w:tc>
          <w:tcPr>
            <w:tcW w:type="dxa" w:w="3100"/>
          </w:tcPr>
          <w:p>
            <w:pPr>
              <w:spacing w:before="20" w:after="20"/>
            </w:pPr>
            <w:r>
              <w:rPr>
                <w:rFonts w:ascii="Calibri" w:hAnsi="Calibri"/>
                <w:b w:val="0"/>
                <w:i w:val="0"/>
                <w:color w:val="1A2B33"/>
                <w:sz w:val="18"/>
              </w:rPr>
              <w:t>Depende de sexo, edad y peso</w:t>
            </w:r>
          </w:p>
        </w:tc>
      </w:tr>
      <w:tr>
        <w:tc>
          <w:tcPr>
            <w:tcW w:type="dxa" w:w="3000"/>
            <w:shd w:val="clear" w:color="auto" w:fill="F6F8F8"/>
          </w:tcPr>
          <w:p>
            <w:pPr>
              <w:spacing w:before="20" w:after="20"/>
            </w:pPr>
            <w:r>
              <w:rPr>
                <w:rFonts w:ascii="Calibri" w:hAnsi="Calibri"/>
                <w:b w:val="0"/>
                <w:i w:val="0"/>
                <w:color w:val="1A2B33"/>
                <w:sz w:val="18"/>
              </w:rPr>
              <w:t>Puntuación Z</w:t>
            </w:r>
          </w:p>
        </w:tc>
        <w:tc>
          <w:tcPr>
            <w:tcW w:type="dxa" w:w="1700"/>
            <w:shd w:val="clear" w:color="auto" w:fill="F6F8F8"/>
          </w:tcPr>
          <w:p>
            <w:pPr>
              <w:spacing w:before="20" w:after="20"/>
            </w:pPr>
            <w:r>
              <w:rPr>
                <w:rFonts w:ascii="Calibri" w:hAnsi="Calibri"/>
                <w:b w:val="0"/>
                <w:i w:val="0"/>
                <w:color w:val="1A2B33"/>
                <w:sz w:val="18"/>
              </w:rPr>
              <w:t>INDICADOR</w:t>
            </w:r>
          </w:p>
        </w:tc>
        <w:tc>
          <w:tcPr>
            <w:tcW w:type="dxa" w:w="1560"/>
            <w:shd w:val="clear" w:color="auto" w:fill="F6F8F8"/>
          </w:tcPr>
          <w:p>
            <w:pPr>
              <w:spacing w:before="20" w:after="20"/>
            </w:pPr>
            <w:r>
              <w:rPr>
                <w:rFonts w:ascii="Calibri" w:hAnsi="Calibri"/>
                <w:b w:val="0"/>
                <w:i w:val="0"/>
                <w:color w:val="1A2B33"/>
                <w:sz w:val="18"/>
              </w:rPr>
              <w:t>DE (adimensional)</w:t>
            </w:r>
          </w:p>
        </w:tc>
        <w:tc>
          <w:tcPr>
            <w:tcW w:type="dxa" w:w="3100"/>
            <w:shd w:val="clear" w:color="auto" w:fill="F6F8F8"/>
          </w:tcPr>
          <w:p>
            <w:pPr>
              <w:spacing w:before="20" w:after="20"/>
            </w:pPr>
            <w:r>
              <w:rPr>
                <w:rFonts w:ascii="Calibri" w:hAnsi="Calibri"/>
                <w:b w:val="0"/>
                <w:i w:val="0"/>
                <w:color w:val="1A2B33"/>
                <w:sz w:val="18"/>
              </w:rPr>
              <w:t>Depende de sexo, edad y peso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121"/>
        <w:gridCol w:w="1121"/>
        <w:gridCol w:w="1121"/>
        <w:gridCol w:w="1121"/>
        <w:gridCol w:w="1121"/>
        <w:gridCol w:w="1121"/>
        <w:gridCol w:w="1121"/>
        <w:gridCol w:w="1121"/>
        <w:gridCol w:w="1121"/>
      </w:tblGrid>
      <w:tr>
        <w:tc>
          <w:tcPr>
            <w:tcW w:type="dxa" w:w="1121"/>
            <w:shd w:val="clear" w:color="auto" w:fill="EDF2F1"/>
          </w:tcPr>
          <w:p>
            <w:pPr>
              <w:spacing w:before="20" w:after="20"/>
              <w:jc w:val="center"/>
            </w:pPr>
            <w:r>
              <w:rPr>
                <w:rFonts w:ascii="Calibri" w:hAnsi="Calibri"/>
                <w:b/>
                <w:i w:val="0"/>
                <w:color w:val="0A3E3A"/>
                <w:sz w:val="15"/>
              </w:rPr>
              <w:t>INICIO</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DATOS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CALCULOS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RESULTADOS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RESULTADOS</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8 hojas (8 visibles y 0 ocultas o auxiliares). Incorpora aproximadamente 127 fórmulas, 1 gráficos, 0 tablas estructuradas y 4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Lactante ficticio, sexo femenino, 12 meses, peso registrado.</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ingresan sexo, edad en meses y peso en DATOS.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motor LMS calcula el percentil y la puntuación Z.</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resultado orienta educativamente la posición en la curva OMS; la interpretación es profesional.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Método LMS (Z = ((valor/M)^L − 1)/(L·S))</w:t>
            </w:r>
          </w:p>
        </w:tc>
        <w:tc>
          <w:tcPr>
            <w:tcW w:type="dxa" w:w="1500"/>
          </w:tcPr>
          <w:p>
            <w:pPr>
              <w:spacing w:before="20" w:after="20"/>
            </w:pPr>
            <w:r>
              <w:rPr>
                <w:rFonts w:ascii="Calibri" w:hAnsi="Calibri"/>
                <w:b w:val="0"/>
                <w:i w:val="0"/>
                <w:color w:val="1A2B33"/>
                <w:sz w:val="18"/>
              </w:rPr>
              <w:t>Niños 0–60 m (MGRS)</w:t>
            </w:r>
          </w:p>
        </w:tc>
        <w:tc>
          <w:tcPr>
            <w:tcW w:type="dxa" w:w="1760"/>
          </w:tcPr>
          <w:p>
            <w:pPr>
              <w:spacing w:before="20" w:after="20"/>
            </w:pPr>
            <w:r>
              <w:rPr>
                <w:rFonts w:ascii="Calibri" w:hAnsi="Calibri"/>
                <w:b w:val="0"/>
                <w:i w:val="0"/>
                <w:color w:val="1A2B33"/>
                <w:sz w:val="18"/>
              </w:rPr>
              <w:t>Percentil/Z peso-edad</w:t>
            </w:r>
          </w:p>
        </w:tc>
        <w:tc>
          <w:tcPr>
            <w:tcW w:type="dxa" w:w="2000"/>
          </w:tcPr>
          <w:p>
            <w:pPr>
              <w:spacing w:before="20" w:after="20"/>
            </w:pPr>
            <w:r>
              <w:rPr>
                <w:rFonts w:ascii="Calibri" w:hAnsi="Calibri"/>
                <w:b w:val="0"/>
                <w:i w:val="0"/>
                <w:color w:val="1A2B33"/>
                <w:sz w:val="18"/>
              </w:rPr>
              <w:t>Requiere técnica antropométrica correcta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OMS</w:t>
            </w:r>
          </w:p>
        </w:tc>
        <w:tc>
          <w:tcPr>
            <w:tcW w:type="dxa" w:w="2600"/>
          </w:tcPr>
          <w:p>
            <w:pPr>
              <w:spacing w:before="20" w:after="20"/>
            </w:pPr>
            <w:r>
              <w:rPr>
                <w:rFonts w:ascii="Calibri" w:hAnsi="Calibri"/>
                <w:b w:val="0"/>
                <w:i w:val="0"/>
                <w:color w:val="1A2B33"/>
                <w:sz w:val="17"/>
              </w:rPr>
              <w:t>WHO Child Growth Standards — tablas LMS peso para la edad</w:t>
            </w:r>
          </w:p>
        </w:tc>
        <w:tc>
          <w:tcPr>
            <w:tcW w:type="dxa" w:w="700"/>
          </w:tcPr>
          <w:p>
            <w:pPr>
              <w:spacing w:before="20" w:after="20"/>
            </w:pPr>
            <w:r>
              <w:rPr>
                <w:rFonts w:ascii="Calibri" w:hAnsi="Calibri"/>
                <w:b w:val="0"/>
                <w:i w:val="0"/>
                <w:color w:val="1A2B33"/>
                <w:sz w:val="17"/>
              </w:rPr>
              <w:t>2006</w:t>
            </w:r>
          </w:p>
        </w:tc>
        <w:tc>
          <w:tcPr>
            <w:tcW w:type="dxa" w:w="2160"/>
          </w:tcPr>
          <w:p>
            <w:pPr>
              <w:spacing w:before="20" w:after="20"/>
            </w:pPr>
            <w:r>
              <w:rPr>
                <w:rFonts w:ascii="Calibri" w:hAnsi="Calibri"/>
                <w:b w:val="0"/>
                <w:i w:val="0"/>
                <w:color w:val="1A2B33"/>
                <w:sz w:val="17"/>
              </w:rPr>
              <w:t>Fuente de coeficientes LMS</w:t>
            </w:r>
          </w:p>
        </w:tc>
        <w:tc>
          <w:tcPr>
            <w:tcW w:type="dxa" w:w="1700"/>
          </w:tcPr>
          <w:p>
            <w:pPr>
              <w:spacing w:before="20" w:after="20"/>
            </w:pPr>
            <w:r>
              <w:rPr>
                <w:rFonts w:ascii="Calibri" w:hAnsi="Calibri"/>
                <w:b w:val="0"/>
                <w:i w:val="0"/>
                <w:color w:val="1A2B33"/>
                <w:sz w:val="17"/>
              </w:rPr>
              <w:t>NORMA_OFICIAL</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La versión analizada cubre el indicador peso para la edad (0–60 meses). La exactitud depende de una medición antropométrica correcta. Exactitud matemática ≠ validación clínica.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NMX-14-INTEGRADO · Evaluación Nutricional Pediátrica Integral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NMX-14-MINSAL-UDD · Evaluación Pediátrica OMS/MINSAL + UDD (Fuentes Resueltas)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NMX-15 · Biblioteca Profesional de Fórmulas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NMX-09</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NMX-09_Calculadora_de_Percentiles_OMS_18CA_CORREGIDO_COMERCIAL_PRE_P19_REPARADO_PRE_P19.xlsx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NMX-09 · Calculadora de Percentiles OMS</w:t>
            </w:r>
          </w:p>
          <w:p>
            <w:pPr>
              <w:spacing w:before="80" w:after="0"/>
              <w:jc w:val="center"/>
            </w:pPr>
            <w:r>
              <w:rPr>
                <w:rFonts w:ascii="Calibri" w:hAnsi="Calibri"/>
                <w:b w:val="0"/>
                <w:i w:val="0"/>
                <w:color w:val="EDF2F1"/>
                <w:sz w:val="20"/>
              </w:rPr>
              <w:t>Fase 1 · Motores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NMX-09 · Calculadora de Percentiles OMS</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