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NMX-12</w:t>
      </w:r>
    </w:p>
    <w:p>
      <w:pPr>
        <w:spacing w:before="0" w:after="160" w:line="252" w:lineRule="auto"/>
      </w:pPr>
      <w:r>
        <w:rPr>
          <w:rFonts w:ascii="Calibri" w:hAnsi="Calibri"/>
          <w:b/>
          <w:i w:val="0"/>
          <w:color w:val="1A2B33"/>
          <w:sz w:val="38"/>
        </w:rPr>
        <w:t>Calculadora de Grasa y Composición Corporal</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1 · Motores</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Motor de composición corporal</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NO_CONFIRMADO</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 Microsoft 365 y Excel 2021 (declarado en INICIO).</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NMX-12_Calculadora_Grasa_Composicion_Corporal_18CA_CORREGIDO_COMERCIAL_PRE_P19_REPARADO_PRE_P19.xlsx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NMX-12 · Calculadora de Grasa y Composición Corporal</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1 · Motores</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Motor de composición corporal</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Estimar porcentaje de grasa y componentes de composición corporal, con clasificación anclada a criterios chilenos y trazabilidad de ecuaciones.</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Sexo, Edad; Antropometría: Peso, Talla, Medidas necesarias para la ecuación</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 grasa corporal; Clasificación</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NO_CONFIRMADO</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 Microsoft 365 y Excel 2021 (declarado en INICIO).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NMX-12 estima el porcentaje de grasa y otros componentes de la composición corporal en adultos. Su rasgo distintivo, declarado en el propio libro, es el anclaje regional a Chile: la clasificación se referencia a INTA (Universidad de Chile) y MINSAL, con la OMS como referencia adoptada por MINSAL; se eliminaron explícitamente fuentes de USDA y del INS de Perú. Incluye hoja FUENTES con niveles de verificación. Pertenece a la Fase 1 (Motores).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Estimar porcentaje de grasa y componentes de composición corporal, con clasificación anclada a criterios chilenos y trazabilidad de ecuaciones.</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Ingresar datos antropométricos.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Obtener estimación de grasa corporal y su clasificación.</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Consultar la trazabilidad regional (INTA/MINSAL) en FUENTES.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Adultos, con anclaje de clasificación regional a Chile (INTA U. de Chile y MINSAL, OMS como referencia adoptada por MINSAL).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Estimación de grasa</w:t>
            </w:r>
          </w:p>
        </w:tc>
        <w:tc>
          <w:tcPr>
            <w:tcW w:type="dxa" w:w="2500"/>
          </w:tcPr>
          <w:p>
            <w:pPr>
              <w:spacing w:before="20" w:after="20"/>
            </w:pPr>
            <w:r>
              <w:rPr>
                <w:rFonts w:ascii="Calibri" w:hAnsi="Calibri"/>
                <w:b w:val="0"/>
                <w:i w:val="0"/>
                <w:color w:val="1A2B33"/>
                <w:sz w:val="18"/>
              </w:rPr>
              <w:t>Calcula % de grasa corporal</w:t>
            </w:r>
          </w:p>
        </w:tc>
        <w:tc>
          <w:tcPr>
            <w:tcW w:type="dxa" w:w="2000"/>
          </w:tcPr>
          <w:p>
            <w:pPr>
              <w:spacing w:before="20" w:after="20"/>
            </w:pPr>
            <w:r>
              <w:rPr>
                <w:rFonts w:ascii="Calibri" w:hAnsi="Calibri"/>
                <w:b w:val="0"/>
                <w:i w:val="0"/>
                <w:color w:val="1A2B33"/>
                <w:sz w:val="18"/>
              </w:rPr>
              <w:t>Datos antropométricos</w:t>
            </w:r>
          </w:p>
        </w:tc>
        <w:tc>
          <w:tcPr>
            <w:tcW w:type="dxa" w:w="2160"/>
          </w:tcPr>
          <w:p>
            <w:pPr>
              <w:spacing w:before="20" w:after="20"/>
            </w:pPr>
            <w:r>
              <w:rPr>
                <w:rFonts w:ascii="Calibri" w:hAnsi="Calibri"/>
                <w:b w:val="0"/>
                <w:i w:val="0"/>
                <w:color w:val="1A2B33"/>
                <w:sz w:val="18"/>
              </w:rPr>
              <w:t>% grasa y masa grasa/magra</w:t>
            </w:r>
          </w:p>
        </w:tc>
        <w:tc>
          <w:tcPr>
            <w:tcW w:type="dxa" w:w="1200"/>
          </w:tcPr>
          <w:p>
            <w:pPr>
              <w:spacing w:before="20" w:after="20"/>
            </w:pPr>
            <w:r>
              <w:rPr>
                <w:rFonts w:ascii="Calibri" w:hAnsi="Calibri"/>
                <w:b w:val="0"/>
                <w:i w:val="0"/>
                <w:color w:val="1A2B33"/>
                <w:sz w:val="18"/>
              </w:rPr>
              <w:t>Intermedio</w:t>
            </w:r>
          </w:p>
        </w:tc>
      </w:tr>
      <w:tr>
        <w:tc>
          <w:tcPr>
            <w:tcW w:type="dxa" w:w="1500"/>
            <w:shd w:val="clear" w:color="auto" w:fill="F6F8F8"/>
          </w:tcPr>
          <w:p>
            <w:pPr>
              <w:spacing w:before="20" w:after="20"/>
            </w:pPr>
            <w:r>
              <w:rPr>
                <w:rFonts w:ascii="Calibri" w:hAnsi="Calibri"/>
                <w:b w:val="0"/>
                <w:i w:val="0"/>
                <w:color w:val="1A2B33"/>
                <w:sz w:val="18"/>
              </w:rPr>
              <w:t>Clasificación regional</w:t>
            </w:r>
          </w:p>
        </w:tc>
        <w:tc>
          <w:tcPr>
            <w:tcW w:type="dxa" w:w="2500"/>
            <w:shd w:val="clear" w:color="auto" w:fill="F6F8F8"/>
          </w:tcPr>
          <w:p>
            <w:pPr>
              <w:spacing w:before="20" w:after="20"/>
            </w:pPr>
            <w:r>
              <w:rPr>
                <w:rFonts w:ascii="Calibri" w:hAnsi="Calibri"/>
                <w:b w:val="0"/>
                <w:i w:val="0"/>
                <w:color w:val="1A2B33"/>
                <w:sz w:val="18"/>
              </w:rPr>
              <w:t>Clasifica según criterios chilenos</w:t>
            </w:r>
          </w:p>
        </w:tc>
        <w:tc>
          <w:tcPr>
            <w:tcW w:type="dxa" w:w="2000"/>
            <w:shd w:val="clear" w:color="auto" w:fill="F6F8F8"/>
          </w:tcPr>
          <w:p>
            <w:pPr>
              <w:spacing w:before="20" w:after="20"/>
            </w:pPr>
            <w:r>
              <w:rPr>
                <w:rFonts w:ascii="Calibri" w:hAnsi="Calibri"/>
                <w:b w:val="0"/>
                <w:i w:val="0"/>
                <w:color w:val="1A2B33"/>
                <w:sz w:val="18"/>
              </w:rPr>
              <w:t>% grasa, sexo, edad</w:t>
            </w:r>
          </w:p>
        </w:tc>
        <w:tc>
          <w:tcPr>
            <w:tcW w:type="dxa" w:w="2160"/>
            <w:shd w:val="clear" w:color="auto" w:fill="F6F8F8"/>
          </w:tcPr>
          <w:p>
            <w:pPr>
              <w:spacing w:before="20" w:after="20"/>
            </w:pPr>
            <w:r>
              <w:rPr>
                <w:rFonts w:ascii="Calibri" w:hAnsi="Calibri"/>
                <w:b w:val="0"/>
                <w:i w:val="0"/>
                <w:color w:val="1A2B33"/>
                <w:sz w:val="18"/>
              </w:rPr>
              <w:t>Categoría orientadora</w:t>
            </w:r>
          </w:p>
        </w:tc>
        <w:tc>
          <w:tcPr>
            <w:tcW w:type="dxa" w:w="1200"/>
            <w:shd w:val="clear" w:color="auto" w:fill="F6F8F8"/>
          </w:tcPr>
          <w:p>
            <w:pPr>
              <w:spacing w:before="20" w:after="20"/>
            </w:pPr>
            <w:r>
              <w:rPr>
                <w:rFonts w:ascii="Calibri" w:hAnsi="Calibri"/>
                <w:b w:val="0"/>
                <w:i w:val="0"/>
                <w:color w:val="1A2B33"/>
                <w:sz w:val="18"/>
              </w:rPr>
              <w:t>Intermedio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Sexo, Edad</w:t>
      </w:r>
    </w:p>
    <w:p>
      <w:pPr>
        <w:spacing w:before="60" w:after="20" w:line="276" w:lineRule="auto"/>
      </w:pPr>
      <w:r>
        <w:rPr>
          <w:rFonts w:ascii="Calibri" w:hAnsi="Calibri"/>
          <w:b/>
          <w:i w:val="0"/>
          <w:color w:val="0A3E3A"/>
          <w:sz w:val="20"/>
        </w:rPr>
        <w:t>Antropometría</w:t>
      </w:r>
    </w:p>
    <w:p>
      <w:pPr>
        <w:spacing w:before="40" w:after="60" w:line="276" w:lineRule="auto"/>
      </w:pPr>
      <w:r>
        <w:rPr>
          <w:rFonts w:ascii="Calibri" w:hAnsi="Calibri"/>
          <w:b w:val="0"/>
          <w:i w:val="0"/>
          <w:color w:val="1A2B33"/>
          <w:sz w:val="19"/>
        </w:rPr>
        <w:t>Peso, Talla, Medidas necesarias para la ecuación</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 grasa corporal</w:t>
            </w:r>
          </w:p>
        </w:tc>
        <w:tc>
          <w:tcPr>
            <w:tcW w:type="dxa" w:w="1700"/>
          </w:tcPr>
          <w:p>
            <w:pPr>
              <w:spacing w:before="20" w:after="20"/>
            </w:pPr>
            <w:r>
              <w:rPr>
                <w:rFonts w:ascii="Calibri" w:hAnsi="Calibri"/>
                <w:b w:val="0"/>
                <w:i w:val="0"/>
                <w:color w:val="1A2B33"/>
                <w:sz w:val="18"/>
              </w:rPr>
              <w:t>CÁLCULO</w:t>
            </w:r>
          </w:p>
        </w:tc>
        <w:tc>
          <w:tcPr>
            <w:tcW w:type="dxa" w:w="1560"/>
          </w:tcPr>
          <w:p>
            <w:pPr>
              <w:spacing w:before="20" w:after="20"/>
            </w:pPr>
            <w:r>
              <w:rPr>
                <w:rFonts w:ascii="Calibri" w:hAnsi="Calibri"/>
                <w:b w:val="0"/>
                <w:i w:val="0"/>
                <w:color w:val="1A2B33"/>
                <w:sz w:val="18"/>
              </w:rPr>
              <w:t>%</w:t>
            </w:r>
          </w:p>
        </w:tc>
        <w:tc>
          <w:tcPr>
            <w:tcW w:type="dxa" w:w="3100"/>
          </w:tcPr>
          <w:p>
            <w:pPr>
              <w:spacing w:before="20" w:after="20"/>
            </w:pPr>
            <w:r>
              <w:rPr>
                <w:rFonts w:ascii="Calibri" w:hAnsi="Calibri"/>
                <w:b w:val="0"/>
                <w:i w:val="0"/>
                <w:color w:val="1A2B33"/>
                <w:sz w:val="18"/>
              </w:rPr>
              <w:t>Depende de la antropometría</w:t>
            </w:r>
          </w:p>
        </w:tc>
      </w:tr>
      <w:tr>
        <w:tc>
          <w:tcPr>
            <w:tcW w:type="dxa" w:w="3000"/>
            <w:shd w:val="clear" w:color="auto" w:fill="F6F8F8"/>
          </w:tcPr>
          <w:p>
            <w:pPr>
              <w:spacing w:before="20" w:after="20"/>
            </w:pPr>
            <w:r>
              <w:rPr>
                <w:rFonts w:ascii="Calibri" w:hAnsi="Calibri"/>
                <w:b w:val="0"/>
                <w:i w:val="0"/>
                <w:color w:val="1A2B33"/>
                <w:sz w:val="18"/>
              </w:rPr>
              <w:t>Clasificación</w:t>
            </w:r>
          </w:p>
        </w:tc>
        <w:tc>
          <w:tcPr>
            <w:tcW w:type="dxa" w:w="1700"/>
            <w:shd w:val="clear" w:color="auto" w:fill="F6F8F8"/>
          </w:tcPr>
          <w:p>
            <w:pPr>
              <w:spacing w:before="20" w:after="20"/>
            </w:pPr>
            <w:r>
              <w:rPr>
                <w:rFonts w:ascii="Calibri" w:hAnsi="Calibri"/>
                <w:b w:val="0"/>
                <w:i w:val="0"/>
                <w:color w:val="1A2B33"/>
                <w:sz w:val="18"/>
              </w:rPr>
              <w:t>INTERPRETACIÓN</w:t>
            </w:r>
          </w:p>
        </w:tc>
        <w:tc>
          <w:tcPr>
            <w:tcW w:type="dxa" w:w="1560"/>
            <w:shd w:val="clear" w:color="auto" w:fill="F6F8F8"/>
          </w:tcPr>
          <w:p>
            <w:pPr>
              <w:spacing w:before="20" w:after="20"/>
            </w:pPr>
            <w:r>
              <w:rPr>
                <w:rFonts w:ascii="Calibri" w:hAnsi="Calibri"/>
                <w:b w:val="0"/>
                <w:i w:val="0"/>
                <w:color w:val="1A2B33"/>
                <w:sz w:val="18"/>
              </w:rPr>
              <w:t>categoría</w:t>
            </w:r>
          </w:p>
        </w:tc>
        <w:tc>
          <w:tcPr>
            <w:tcW w:type="dxa" w:w="3100"/>
            <w:shd w:val="clear" w:color="auto" w:fill="F6F8F8"/>
          </w:tcPr>
          <w:p>
            <w:pPr>
              <w:spacing w:before="20" w:after="20"/>
            </w:pPr>
            <w:r>
              <w:rPr>
                <w:rFonts w:ascii="Calibri" w:hAnsi="Calibri"/>
                <w:b w:val="0"/>
                <w:i w:val="0"/>
                <w:color w:val="1A2B33"/>
                <w:sz w:val="18"/>
              </w:rPr>
              <w:t>Anclada a INTA/MINSAL/OMS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1121"/>
        <w:gridCol w:w="1121"/>
        <w:gridCol w:w="1121"/>
        <w:gridCol w:w="1121"/>
        <w:gridCol w:w="1121"/>
        <w:gridCol w:w="1121"/>
        <w:gridCol w:w="1121"/>
        <w:gridCol w:w="1121"/>
        <w:gridCol w:w="1121"/>
      </w:tblGrid>
      <w:tr>
        <w:tc>
          <w:tcPr>
            <w:tcW w:type="dxa" w:w="1121"/>
            <w:shd w:val="clear" w:color="auto" w:fill="EDF2F1"/>
          </w:tcPr>
          <w:p>
            <w:pPr>
              <w:spacing w:before="20" w:after="20"/>
              <w:jc w:val="center"/>
            </w:pPr>
            <w:r>
              <w:rPr>
                <w:rFonts w:ascii="Calibri" w:hAnsi="Calibri"/>
                <w:b/>
                <w:i w:val="0"/>
                <w:color w:val="0A3E3A"/>
                <w:sz w:val="15"/>
              </w:rPr>
              <w:t>INICIO</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DATOS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CALCULOS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RESULTADOS</w:t>
            </w:r>
          </w:p>
        </w:tc>
        <w:tc>
          <w:tcPr>
            <w:tcW w:type="dxa" w:w="1121"/>
          </w:tcPr>
          <w:p>
            <w:pPr>
              <w:spacing w:before="20" w:after="20"/>
              <w:jc w:val="center"/>
            </w:pPr>
            <w:r>
              <w:rPr>
                <w:rFonts w:ascii="Calibri" w:hAnsi="Calibri"/>
                <w:b/>
                <w:i w:val="0"/>
                <w:color w:val="C08A2B"/>
                <w:sz w:val="18"/>
              </w:rPr>
              <w:t>→</w:t>
            </w:r>
          </w:p>
        </w:tc>
        <w:tc>
          <w:tcPr>
            <w:tcW w:type="dxa" w:w="1121"/>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DATOS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RESULTADOS</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FUENTES</w:t>
            </w:r>
          </w:p>
        </w:tc>
        <w:tc>
          <w:tcPr>
            <w:tcW w:type="dxa" w:w="5760"/>
            <w:shd w:val="clear" w:color="auto" w:fill="F6F8F8"/>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8 hojas (8 visibles y 0 ocultas o auxiliares). Incorpora aproximadamente 163 fórmulas, 2 gráficos, 0 tablas estructuradas y 10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Adulto ficticio, mediciones antropométricas registradas.</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ingresan datos en DATOS.</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La calculadora estima % de grasa y clasifica según criterio chileno.</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El resultado orienta la lectura de composición corporal; la interpretación es profesional.</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Estimación de composición corporal</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 grasa</w:t>
            </w:r>
          </w:p>
        </w:tc>
        <w:tc>
          <w:tcPr>
            <w:tcW w:type="dxa" w:w="2000"/>
          </w:tcPr>
          <w:p>
            <w:pPr>
              <w:spacing w:before="20" w:after="20"/>
            </w:pPr>
            <w:r>
              <w:rPr>
                <w:rFonts w:ascii="Calibri" w:hAnsi="Calibri"/>
                <w:b w:val="0"/>
                <w:i w:val="0"/>
                <w:color w:val="1A2B33"/>
                <w:sz w:val="18"/>
              </w:rPr>
              <w:t>Exactitud matemática ≠ validación clínica</w:t>
            </w:r>
          </w:p>
        </w:tc>
      </w:tr>
      <w:tr>
        <w:tc>
          <w:tcPr>
            <w:tcW w:type="dxa" w:w="1500"/>
            <w:shd w:val="clear" w:color="auto" w:fill="F6F8F8"/>
          </w:tcPr>
          <w:p>
            <w:pPr>
              <w:spacing w:before="20" w:after="20"/>
            </w:pPr>
            <w:r>
              <w:rPr>
                <w:rFonts w:ascii="Calibri" w:hAnsi="Calibri"/>
                <w:b w:val="0"/>
                <w:i w:val="0"/>
                <w:color w:val="1A2B33"/>
                <w:sz w:val="18"/>
              </w:rPr>
              <w:t>CRITERIO</w:t>
            </w:r>
          </w:p>
        </w:tc>
        <w:tc>
          <w:tcPr>
            <w:tcW w:type="dxa" w:w="2600"/>
            <w:shd w:val="clear" w:color="auto" w:fill="F6F8F8"/>
          </w:tcPr>
          <w:p>
            <w:pPr>
              <w:spacing w:before="20" w:after="20"/>
            </w:pPr>
            <w:r>
              <w:rPr>
                <w:rFonts w:ascii="Calibri" w:hAnsi="Calibri"/>
                <w:b w:val="0"/>
                <w:i w:val="0"/>
                <w:color w:val="1A2B33"/>
                <w:sz w:val="18"/>
              </w:rPr>
              <w:t>Clasificación anclada a INTA/MINSAL/OMS</w:t>
            </w:r>
          </w:p>
        </w:tc>
        <w:tc>
          <w:tcPr>
            <w:tcW w:type="dxa" w:w="1500"/>
            <w:shd w:val="clear" w:color="auto" w:fill="F6F8F8"/>
          </w:tcPr>
          <w:p>
            <w:pPr>
              <w:spacing w:before="20" w:after="20"/>
            </w:pPr>
            <w:r>
              <w:rPr>
                <w:rFonts w:ascii="Calibri" w:hAnsi="Calibri"/>
                <w:b w:val="0"/>
                <w:i w:val="0"/>
                <w:color w:val="1A2B33"/>
                <w:sz w:val="18"/>
              </w:rPr>
              <w:t>Chile</w:t>
            </w:r>
          </w:p>
        </w:tc>
        <w:tc>
          <w:tcPr>
            <w:tcW w:type="dxa" w:w="1760"/>
            <w:shd w:val="clear" w:color="auto" w:fill="F6F8F8"/>
          </w:tcPr>
          <w:p>
            <w:pPr>
              <w:spacing w:before="20" w:after="20"/>
            </w:pPr>
            <w:r>
              <w:rPr>
                <w:rFonts w:ascii="Calibri" w:hAnsi="Calibri"/>
                <w:b w:val="0"/>
                <w:i w:val="0"/>
                <w:color w:val="1A2B33"/>
                <w:sz w:val="18"/>
              </w:rPr>
              <w:t>Categoría orientadora</w:t>
            </w:r>
          </w:p>
        </w:tc>
        <w:tc>
          <w:tcPr>
            <w:tcW w:type="dxa" w:w="2000"/>
            <w:shd w:val="clear" w:color="auto" w:fill="F6F8F8"/>
          </w:tcPr>
          <w:p>
            <w:pPr>
              <w:spacing w:before="20" w:after="20"/>
            </w:pPr>
            <w:r>
              <w:rPr>
                <w:rFonts w:ascii="Calibri" w:hAnsi="Calibri"/>
                <w:b w:val="0"/>
                <w:i w:val="0"/>
                <w:color w:val="1A2B33"/>
                <w:sz w:val="18"/>
              </w:rPr>
              <w:t>Localización chilena explícita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INTA, Universidad de Chile / MINSAL</w:t>
            </w:r>
          </w:p>
        </w:tc>
        <w:tc>
          <w:tcPr>
            <w:tcW w:type="dxa" w:w="2600"/>
          </w:tcPr>
          <w:p>
            <w:pPr>
              <w:spacing w:before="20" w:after="20"/>
            </w:pPr>
            <w:r>
              <w:rPr>
                <w:rFonts w:ascii="Calibri" w:hAnsi="Calibri"/>
                <w:b w:val="0"/>
                <w:i w:val="0"/>
                <w:color w:val="1A2B33"/>
                <w:sz w:val="17"/>
              </w:rPr>
              <w:t>Anclaje poblacional y de clasificación</w:t>
            </w:r>
          </w:p>
        </w:tc>
        <w:tc>
          <w:tcPr>
            <w:tcW w:type="dxa" w:w="700"/>
          </w:tcPr>
          <w:p>
            <w:pPr>
              <w:spacing w:before="20" w:after="20"/>
            </w:pPr>
            <w:r>
              <w:rPr>
                <w:rFonts w:ascii="Calibri" w:hAnsi="Calibri"/>
                <w:b w:val="0"/>
                <w:i w:val="0"/>
                <w:color w:val="1A2B33"/>
                <w:sz w:val="17"/>
              </w:rPr>
              <w:t>s/f</w:t>
            </w:r>
          </w:p>
        </w:tc>
        <w:tc>
          <w:tcPr>
            <w:tcW w:type="dxa" w:w="2160"/>
          </w:tcPr>
          <w:p>
            <w:pPr>
              <w:spacing w:before="20" w:after="20"/>
            </w:pPr>
            <w:r>
              <w:rPr>
                <w:rFonts w:ascii="Calibri" w:hAnsi="Calibri"/>
                <w:b w:val="0"/>
                <w:i w:val="0"/>
                <w:color w:val="1A2B33"/>
                <w:sz w:val="17"/>
              </w:rPr>
              <w:t>Clasificación regional</w:t>
            </w:r>
          </w:p>
        </w:tc>
        <w:tc>
          <w:tcPr>
            <w:tcW w:type="dxa" w:w="1700"/>
          </w:tcPr>
          <w:p>
            <w:pPr>
              <w:spacing w:before="20" w:after="20"/>
            </w:pPr>
            <w:r>
              <w:rPr>
                <w:rFonts w:ascii="Calibri" w:hAnsi="Calibri"/>
                <w:b w:val="0"/>
                <w:i w:val="0"/>
                <w:color w:val="1A2B33"/>
                <w:sz w:val="17"/>
              </w:rPr>
              <w:t>NORMA_OFICIAL</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Clasificación anclada a Chile. La estimación depende de la técnica de medición. Exactitud matemática ≠ validación clínica. No es diagnóstico.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reemplaza el juicio profesional</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NMX-36 · Calculadora Especializada de Plicometría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NMX-16 · Calculadora de Somatotipo y Somatocarta (Heath–Carter)</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NMX-28-PACK · Guía del Pack de Antropometría (HUB)</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NMX-06 · Registro y Seguimiento de Composición Corporal</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NMX-12</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NMX-12_Calculadora_Grasa_Composicion_Corporal_18CA_CORREGIDO_COMERCIAL_PRE_P19_REPARADO_PRE_P19.xlsx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NO_CONFIRMADO</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NMX-12 · Calculadora de Grasa y Composición Corporal</w:t>
            </w:r>
          </w:p>
          <w:p>
            <w:pPr>
              <w:spacing w:before="80" w:after="0"/>
              <w:jc w:val="center"/>
            </w:pPr>
            <w:r>
              <w:rPr>
                <w:rFonts w:ascii="Calibri" w:hAnsi="Calibri"/>
                <w:b w:val="0"/>
                <w:i w:val="0"/>
                <w:color w:val="EDF2F1"/>
                <w:sz w:val="20"/>
              </w:rPr>
              <w:t>Fase 1 · Motores · NO_CONFIRMADO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NMX-12 · Calculadora de Grasa y Composición Corporal</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