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NMX-14-INTEGRADO</w:t>
      </w:r>
    </w:p>
    <w:p>
      <w:pPr>
        <w:spacing w:before="0" w:after="160" w:line="252" w:lineRule="auto"/>
      </w:pPr>
      <w:r>
        <w:rPr>
          <w:rFonts w:ascii="Calibri" w:hAnsi="Calibri"/>
          <w:b/>
          <w:i w:val="0"/>
          <w:color w:val="1A2B33"/>
          <w:sz w:val="38"/>
        </w:rPr>
        <w:t>Evaluación Nutricional Pediátrica Integral</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6 · Pediatría</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Evaluación antropométrica pediátrica</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v2.0.1</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sin macros · Microsoft 365 y Excel 2021 (declarado en INICIO).</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NMX-14_Evaluacion_Nutricional_Pediatrica_v2_0_1_QA_CORREGIDO_COMERCIAL_PRE_P19_REPARADO_PRE_P19.xlsx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NMX-14-INTEGRADO · Evaluación Nutricional Pediátrica Integral</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6 · Pediatría</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Evaluación antropométrica pediátrica</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clínico profesional)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Evaluar el estado nutricional infantil/adolescente con antropometría OMS (LMS/DE) y patrones MINSAL 2018, integrando cálculo, curvas y seguimiento en un único libro operativo.</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Datos personales: Sexo, Edad (meses); Antropometría: Peso, Talla/longitud, Perímetro cefálico</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Indicadores antropométricos; Curvas de crecimiento</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v2.0.1</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sin macros · Microsoft 365 y Excel 2021 (declarado en INICIO).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NMX-14-INTEGRADO es la evaluación nutricional pediátrica integral (versión 2.0.1): un libro operativo que aplica antropometría OMS por método LMS/DE combinada con patrones MINSAL 2018, cubriendo de 0 a 19 años (228 meses), donde cada indicador tiene su propio rango de edad/talla. Integra cálculo, curvas de crecimiento, seguimiento y una hoja QA_REAL. Es el motor pediátrico 'todo en uno' de la Fase 6. Se diferencia del NMX-14-MINSAL/UDD, que es una arquitectura documental de trazabilidad y módulos por situación especial.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Evaluar el estado nutricional infantil/adolescente con antropometría OMS (LMS/DE) y patrones MINSAL 2018, integrando cálculo, curvas y seguimiento en un único libro operativo.</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Ingresar los datos antropométricos del menor.</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Obtener indicadores (P/E, P/T, T/E, IMC/E, PCe) con Z/percentil.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Visualizar curvas y hacer seguimiento.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clínico profesional)</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0 a 19 años (0–228 meses); cada indicador con su propio rango de edad/talla.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Cálculo de indicadores</w:t>
            </w:r>
          </w:p>
        </w:tc>
        <w:tc>
          <w:tcPr>
            <w:tcW w:type="dxa" w:w="2500"/>
          </w:tcPr>
          <w:p>
            <w:pPr>
              <w:spacing w:before="20" w:after="20"/>
            </w:pPr>
            <w:r>
              <w:rPr>
                <w:rFonts w:ascii="Calibri" w:hAnsi="Calibri"/>
                <w:b w:val="0"/>
                <w:i w:val="0"/>
                <w:color w:val="1A2B33"/>
                <w:sz w:val="18"/>
              </w:rPr>
              <w:t>Calcula P/E, P/T, T/E, IMC/E, PCe con LMS/DE</w:t>
            </w:r>
          </w:p>
        </w:tc>
        <w:tc>
          <w:tcPr>
            <w:tcW w:type="dxa" w:w="2000"/>
          </w:tcPr>
          <w:p>
            <w:pPr>
              <w:spacing w:before="20" w:after="20"/>
            </w:pPr>
            <w:r>
              <w:rPr>
                <w:rFonts w:ascii="Calibri" w:hAnsi="Calibri"/>
                <w:b w:val="0"/>
                <w:i w:val="0"/>
                <w:color w:val="1A2B33"/>
                <w:sz w:val="18"/>
              </w:rPr>
              <w:t>Sexo, edad, peso, talla, PCe</w:t>
            </w:r>
          </w:p>
        </w:tc>
        <w:tc>
          <w:tcPr>
            <w:tcW w:type="dxa" w:w="2160"/>
          </w:tcPr>
          <w:p>
            <w:pPr>
              <w:spacing w:before="20" w:after="20"/>
            </w:pPr>
            <w:r>
              <w:rPr>
                <w:rFonts w:ascii="Calibri" w:hAnsi="Calibri"/>
                <w:b w:val="0"/>
                <w:i w:val="0"/>
                <w:color w:val="1A2B33"/>
                <w:sz w:val="18"/>
              </w:rPr>
              <w:t>Z y percentil por indicador</w:t>
            </w:r>
          </w:p>
        </w:tc>
        <w:tc>
          <w:tcPr>
            <w:tcW w:type="dxa" w:w="1200"/>
          </w:tcPr>
          <w:p>
            <w:pPr>
              <w:spacing w:before="20" w:after="20"/>
            </w:pPr>
            <w:r>
              <w:rPr>
                <w:rFonts w:ascii="Calibri" w:hAnsi="Calibri"/>
                <w:b w:val="0"/>
                <w:i w:val="0"/>
                <w:color w:val="1A2B33"/>
                <w:sz w:val="18"/>
              </w:rPr>
              <w:t>Intermedio</w:t>
            </w:r>
          </w:p>
        </w:tc>
      </w:tr>
      <w:tr>
        <w:tc>
          <w:tcPr>
            <w:tcW w:type="dxa" w:w="1500"/>
            <w:shd w:val="clear" w:color="auto" w:fill="F6F8F8"/>
          </w:tcPr>
          <w:p>
            <w:pPr>
              <w:spacing w:before="20" w:after="20"/>
            </w:pPr>
            <w:r>
              <w:rPr>
                <w:rFonts w:ascii="Calibri" w:hAnsi="Calibri"/>
                <w:b w:val="0"/>
                <w:i w:val="0"/>
                <w:color w:val="1A2B33"/>
                <w:sz w:val="18"/>
              </w:rPr>
              <w:t>Curvas</w:t>
            </w:r>
          </w:p>
        </w:tc>
        <w:tc>
          <w:tcPr>
            <w:tcW w:type="dxa" w:w="2500"/>
            <w:shd w:val="clear" w:color="auto" w:fill="F6F8F8"/>
          </w:tcPr>
          <w:p>
            <w:pPr>
              <w:spacing w:before="20" w:after="20"/>
            </w:pPr>
            <w:r>
              <w:rPr>
                <w:rFonts w:ascii="Calibri" w:hAnsi="Calibri"/>
                <w:b w:val="0"/>
                <w:i w:val="0"/>
                <w:color w:val="1A2B33"/>
                <w:sz w:val="18"/>
              </w:rPr>
              <w:t>Ubica al menor en las curvas OMS/MINSAL</w:t>
            </w:r>
          </w:p>
        </w:tc>
        <w:tc>
          <w:tcPr>
            <w:tcW w:type="dxa" w:w="2000"/>
            <w:shd w:val="clear" w:color="auto" w:fill="F6F8F8"/>
          </w:tcPr>
          <w:p>
            <w:pPr>
              <w:spacing w:before="20" w:after="20"/>
            </w:pPr>
            <w:r>
              <w:rPr>
                <w:rFonts w:ascii="Calibri" w:hAnsi="Calibri"/>
                <w:b w:val="0"/>
                <w:i w:val="0"/>
                <w:color w:val="1A2B33"/>
                <w:sz w:val="18"/>
              </w:rPr>
              <w:t>Indicadores</w:t>
            </w:r>
          </w:p>
        </w:tc>
        <w:tc>
          <w:tcPr>
            <w:tcW w:type="dxa" w:w="2160"/>
            <w:shd w:val="clear" w:color="auto" w:fill="F6F8F8"/>
          </w:tcPr>
          <w:p>
            <w:pPr>
              <w:spacing w:before="20" w:after="20"/>
            </w:pPr>
            <w:r>
              <w:rPr>
                <w:rFonts w:ascii="Calibri" w:hAnsi="Calibri"/>
                <w:b w:val="0"/>
                <w:i w:val="0"/>
                <w:color w:val="1A2B33"/>
                <w:sz w:val="18"/>
              </w:rPr>
              <w:t>Curvas de crecimiento</w:t>
            </w:r>
          </w:p>
        </w:tc>
        <w:tc>
          <w:tcPr>
            <w:tcW w:type="dxa" w:w="1200"/>
            <w:shd w:val="clear" w:color="auto" w:fill="F6F8F8"/>
          </w:tcPr>
          <w:p>
            <w:pPr>
              <w:spacing w:before="20" w:after="20"/>
            </w:pPr>
            <w:r>
              <w:rPr>
                <w:rFonts w:ascii="Calibri" w:hAnsi="Calibri"/>
                <w:b w:val="0"/>
                <w:i w:val="0"/>
                <w:color w:val="1A2B33"/>
                <w:sz w:val="18"/>
              </w:rPr>
              <w:t>Intermedio</w:t>
            </w:r>
          </w:p>
        </w:tc>
      </w:tr>
      <w:tr>
        <w:tc>
          <w:tcPr>
            <w:tcW w:type="dxa" w:w="1500"/>
          </w:tcPr>
          <w:p>
            <w:pPr>
              <w:spacing w:before="20" w:after="20"/>
            </w:pPr>
            <w:r>
              <w:rPr>
                <w:rFonts w:ascii="Calibri" w:hAnsi="Calibri"/>
                <w:b w:val="0"/>
                <w:i w:val="0"/>
                <w:color w:val="1A2B33"/>
                <w:sz w:val="18"/>
              </w:rPr>
              <w:t>Seguimiento</w:t>
            </w:r>
          </w:p>
        </w:tc>
        <w:tc>
          <w:tcPr>
            <w:tcW w:type="dxa" w:w="2500"/>
          </w:tcPr>
          <w:p>
            <w:pPr>
              <w:spacing w:before="20" w:after="20"/>
            </w:pPr>
            <w:r>
              <w:rPr>
                <w:rFonts w:ascii="Calibri" w:hAnsi="Calibri"/>
                <w:b w:val="0"/>
                <w:i w:val="0"/>
                <w:color w:val="1A2B33"/>
                <w:sz w:val="18"/>
              </w:rPr>
              <w:t>Registra evaluaciones sucesivas</w:t>
            </w:r>
          </w:p>
        </w:tc>
        <w:tc>
          <w:tcPr>
            <w:tcW w:type="dxa" w:w="2000"/>
          </w:tcPr>
          <w:p>
            <w:pPr>
              <w:spacing w:before="20" w:after="20"/>
            </w:pPr>
            <w:r>
              <w:rPr>
                <w:rFonts w:ascii="Calibri" w:hAnsi="Calibri"/>
                <w:b w:val="0"/>
                <w:i w:val="0"/>
                <w:color w:val="1A2B33"/>
                <w:sz w:val="18"/>
              </w:rPr>
              <w:t>Mediciones</w:t>
            </w:r>
          </w:p>
        </w:tc>
        <w:tc>
          <w:tcPr>
            <w:tcW w:type="dxa" w:w="2160"/>
          </w:tcPr>
          <w:p>
            <w:pPr>
              <w:spacing w:before="20" w:after="20"/>
            </w:pPr>
            <w:r>
              <w:rPr>
                <w:rFonts w:ascii="Calibri" w:hAnsi="Calibri"/>
                <w:b w:val="0"/>
                <w:i w:val="0"/>
                <w:color w:val="1A2B33"/>
                <w:sz w:val="18"/>
              </w:rPr>
              <w:t>Trayectoria</w:t>
            </w:r>
          </w:p>
        </w:tc>
        <w:tc>
          <w:tcPr>
            <w:tcW w:type="dxa" w:w="1200"/>
          </w:tcPr>
          <w:p>
            <w:pPr>
              <w:spacing w:before="20" w:after="20"/>
            </w:pPr>
            <w:r>
              <w:rPr>
                <w:rFonts w:ascii="Calibri" w:hAnsi="Calibri"/>
                <w:b w:val="0"/>
                <w:i w:val="0"/>
                <w:color w:val="1A2B33"/>
                <w:sz w:val="18"/>
              </w:rPr>
              <w:t>Intermedio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Datos personales</w:t>
      </w:r>
    </w:p>
    <w:p>
      <w:pPr>
        <w:spacing w:before="40" w:after="60" w:line="276" w:lineRule="auto"/>
      </w:pPr>
      <w:r>
        <w:rPr>
          <w:rFonts w:ascii="Calibri" w:hAnsi="Calibri"/>
          <w:b w:val="0"/>
          <w:i w:val="0"/>
          <w:color w:val="1A2B33"/>
          <w:sz w:val="19"/>
        </w:rPr>
        <w:t>Sexo, Edad (meses)</w:t>
      </w:r>
    </w:p>
    <w:p>
      <w:pPr>
        <w:spacing w:before="60" w:after="20" w:line="276" w:lineRule="auto"/>
      </w:pPr>
      <w:r>
        <w:rPr>
          <w:rFonts w:ascii="Calibri" w:hAnsi="Calibri"/>
          <w:b/>
          <w:i w:val="0"/>
          <w:color w:val="0A3E3A"/>
          <w:sz w:val="20"/>
        </w:rPr>
        <w:t>Antropometría</w:t>
      </w:r>
    </w:p>
    <w:p>
      <w:pPr>
        <w:spacing w:before="40" w:after="60" w:line="276" w:lineRule="auto"/>
      </w:pPr>
      <w:r>
        <w:rPr>
          <w:rFonts w:ascii="Calibri" w:hAnsi="Calibri"/>
          <w:b w:val="0"/>
          <w:i w:val="0"/>
          <w:color w:val="1A2B33"/>
          <w:sz w:val="19"/>
        </w:rPr>
        <w:t>Peso, Talla/longitud, Perímetro cefálico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Indicadores antropométricos</w:t>
            </w:r>
          </w:p>
        </w:tc>
        <w:tc>
          <w:tcPr>
            <w:tcW w:type="dxa" w:w="1700"/>
          </w:tcPr>
          <w:p>
            <w:pPr>
              <w:spacing w:before="20" w:after="20"/>
            </w:pPr>
            <w:r>
              <w:rPr>
                <w:rFonts w:ascii="Calibri" w:hAnsi="Calibri"/>
                <w:b w:val="0"/>
                <w:i w:val="0"/>
                <w:color w:val="1A2B33"/>
                <w:sz w:val="18"/>
              </w:rPr>
              <w:t>INDICADOR</w:t>
            </w:r>
          </w:p>
        </w:tc>
        <w:tc>
          <w:tcPr>
            <w:tcW w:type="dxa" w:w="1560"/>
          </w:tcPr>
          <w:p>
            <w:pPr>
              <w:spacing w:before="20" w:after="20"/>
            </w:pPr>
            <w:r>
              <w:rPr>
                <w:rFonts w:ascii="Calibri" w:hAnsi="Calibri"/>
                <w:b w:val="0"/>
                <w:i w:val="0"/>
                <w:color w:val="1A2B33"/>
                <w:sz w:val="18"/>
              </w:rPr>
              <w:t>Z / percentil</w:t>
            </w:r>
          </w:p>
        </w:tc>
        <w:tc>
          <w:tcPr>
            <w:tcW w:type="dxa" w:w="3100"/>
          </w:tcPr>
          <w:p>
            <w:pPr>
              <w:spacing w:before="20" w:after="20"/>
            </w:pPr>
            <w:r>
              <w:rPr>
                <w:rFonts w:ascii="Calibri" w:hAnsi="Calibri"/>
                <w:b w:val="0"/>
                <w:i w:val="0"/>
                <w:color w:val="1A2B33"/>
                <w:sz w:val="18"/>
              </w:rPr>
              <w:t>Depende de las mediciones</w:t>
            </w:r>
          </w:p>
        </w:tc>
      </w:tr>
      <w:tr>
        <w:tc>
          <w:tcPr>
            <w:tcW w:type="dxa" w:w="3000"/>
            <w:shd w:val="clear" w:color="auto" w:fill="F6F8F8"/>
          </w:tcPr>
          <w:p>
            <w:pPr>
              <w:spacing w:before="20" w:after="20"/>
            </w:pPr>
            <w:r>
              <w:rPr>
                <w:rFonts w:ascii="Calibri" w:hAnsi="Calibri"/>
                <w:b w:val="0"/>
                <w:i w:val="0"/>
                <w:color w:val="1A2B33"/>
                <w:sz w:val="18"/>
              </w:rPr>
              <w:t>Curvas de crecimiento</w:t>
            </w:r>
          </w:p>
        </w:tc>
        <w:tc>
          <w:tcPr>
            <w:tcW w:type="dxa" w:w="1700"/>
            <w:shd w:val="clear" w:color="auto" w:fill="F6F8F8"/>
          </w:tcPr>
          <w:p>
            <w:pPr>
              <w:spacing w:before="20" w:after="20"/>
            </w:pPr>
            <w:r>
              <w:rPr>
                <w:rFonts w:ascii="Calibri" w:hAnsi="Calibri"/>
                <w:b w:val="0"/>
                <w:i w:val="0"/>
                <w:color w:val="1A2B33"/>
                <w:sz w:val="18"/>
              </w:rPr>
              <w:t>GRÁFICO</w:t>
            </w:r>
          </w:p>
        </w:tc>
        <w:tc>
          <w:tcPr>
            <w:tcW w:type="dxa" w:w="1560"/>
            <w:shd w:val="clear" w:color="auto" w:fill="F6F8F8"/>
          </w:tcPr>
          <w:p>
            <w:pPr>
              <w:spacing w:before="20" w:after="20"/>
            </w:pPr>
            <w:r>
              <w:rPr>
                <w:rFonts w:ascii="Calibri" w:hAnsi="Calibri"/>
                <w:b w:val="0"/>
                <w:i w:val="0"/>
                <w:color w:val="1A2B33"/>
                <w:sz w:val="18"/>
              </w:rPr>
              <w:t>curvas</w:t>
            </w:r>
          </w:p>
        </w:tc>
        <w:tc>
          <w:tcPr>
            <w:tcW w:type="dxa" w:w="3100"/>
            <w:shd w:val="clear" w:color="auto" w:fill="F6F8F8"/>
          </w:tcPr>
          <w:p>
            <w:pPr>
              <w:spacing w:before="20" w:after="20"/>
            </w:pPr>
            <w:r>
              <w:rPr>
                <w:rFonts w:ascii="Calibri" w:hAnsi="Calibri"/>
                <w:b w:val="0"/>
                <w:i w:val="0"/>
                <w:color w:val="1A2B33"/>
                <w:sz w:val="18"/>
              </w:rPr>
              <w:t>Depende de los indicadores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CALCULOS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RESULTADOS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CURVAS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SEGUIMIENTO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DATOS</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RESULTADOS</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CURVAS</w:t>
            </w:r>
          </w:p>
        </w:tc>
        <w:tc>
          <w:tcPr>
            <w:tcW w:type="dxa" w:w="5760"/>
            <w:shd w:val="clear" w:color="auto" w:fill="F6F8F8"/>
          </w:tcPr>
          <w:p>
            <w:pPr>
              <w:spacing w:before="20" w:after="20"/>
            </w:pPr>
            <w:r>
              <w:rPr>
                <w:rFonts w:ascii="Calibri" w:hAnsi="Calibri"/>
                <w:b w:val="0"/>
                <w:i w:val="0"/>
                <w:color w:val="1A2B33"/>
                <w:sz w:val="18"/>
              </w:rPr>
              <w:t>GRAFICO</w:t>
            </w:r>
          </w:p>
        </w:tc>
      </w:tr>
      <w:tr>
        <w:tc>
          <w:tcPr>
            <w:tcW w:type="dxa" w:w="3600"/>
          </w:tcPr>
          <w:p>
            <w:pPr>
              <w:spacing w:before="20" w:after="20"/>
            </w:pPr>
            <w:r>
              <w:rPr>
                <w:rFonts w:ascii="Calibri" w:hAnsi="Calibri"/>
                <w:b w:val="0"/>
                <w:i w:val="0"/>
                <w:color w:val="1A2B33"/>
                <w:sz w:val="18"/>
              </w:rPr>
              <w:t>FUENTES</w:t>
            </w:r>
          </w:p>
        </w:tc>
        <w:tc>
          <w:tcPr>
            <w:tcW w:type="dxa" w:w="5760"/>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12 hojas (12 visibles y 0 ocultas o auxiliares). Incorpora aproximadamente 314 fórmulas, 5 gráficos, 2 tablas estructuradas y 5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Menor ficticio de 24 meses con peso y talla registrados.</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ingresan sexo, edad, peso, talla y PCe.</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libro calcula P/E, P/T, T/E, IMC/E y PCe con Z/percentil.</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Las curvas ubican al menor; la interpretación es profesional.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ECUACIÓN</w:t>
            </w:r>
          </w:p>
        </w:tc>
        <w:tc>
          <w:tcPr>
            <w:tcW w:type="dxa" w:w="2600"/>
          </w:tcPr>
          <w:p>
            <w:pPr>
              <w:spacing w:before="20" w:after="20"/>
            </w:pPr>
            <w:r>
              <w:rPr>
                <w:rFonts w:ascii="Calibri" w:hAnsi="Calibri"/>
                <w:b w:val="0"/>
                <w:i w:val="0"/>
                <w:color w:val="1A2B33"/>
                <w:sz w:val="18"/>
              </w:rPr>
              <w:t>Método LMS/DE (Z = ((valor/M)^L − 1)/(L·S))</w:t>
            </w:r>
          </w:p>
        </w:tc>
        <w:tc>
          <w:tcPr>
            <w:tcW w:type="dxa" w:w="1500"/>
          </w:tcPr>
          <w:p>
            <w:pPr>
              <w:spacing w:before="20" w:after="20"/>
            </w:pPr>
            <w:r>
              <w:rPr>
                <w:rFonts w:ascii="Calibri" w:hAnsi="Calibri"/>
                <w:b w:val="0"/>
                <w:i w:val="0"/>
                <w:color w:val="1A2B33"/>
                <w:sz w:val="18"/>
              </w:rPr>
              <w:t>0–5 a (OMS MGRS); 5–19 a (referencia OMS)</w:t>
            </w:r>
          </w:p>
        </w:tc>
        <w:tc>
          <w:tcPr>
            <w:tcW w:type="dxa" w:w="1760"/>
          </w:tcPr>
          <w:p>
            <w:pPr>
              <w:spacing w:before="20" w:after="20"/>
            </w:pPr>
            <w:r>
              <w:rPr>
                <w:rFonts w:ascii="Calibri" w:hAnsi="Calibri"/>
                <w:b w:val="0"/>
                <w:i w:val="0"/>
                <w:color w:val="1A2B33"/>
                <w:sz w:val="18"/>
              </w:rPr>
              <w:t>Indicadores antropométricos</w:t>
            </w:r>
          </w:p>
        </w:tc>
        <w:tc>
          <w:tcPr>
            <w:tcW w:type="dxa" w:w="2000"/>
          </w:tcPr>
          <w:p>
            <w:pPr>
              <w:spacing w:before="20" w:after="20"/>
            </w:pPr>
            <w:r>
              <w:rPr>
                <w:rFonts w:ascii="Calibri" w:hAnsi="Calibri"/>
                <w:b w:val="0"/>
                <w:i w:val="0"/>
                <w:color w:val="1A2B33"/>
                <w:sz w:val="18"/>
              </w:rPr>
              <w:t>Requiere técnica correcta</w:t>
            </w:r>
          </w:p>
        </w:tc>
      </w:tr>
      <w:tr>
        <w:tc>
          <w:tcPr>
            <w:tcW w:type="dxa" w:w="1500"/>
            <w:shd w:val="clear" w:color="auto" w:fill="F6F8F8"/>
          </w:tcPr>
          <w:p>
            <w:pPr>
              <w:spacing w:before="20" w:after="20"/>
            </w:pPr>
            <w:r>
              <w:rPr>
                <w:rFonts w:ascii="Calibri" w:hAnsi="Calibri"/>
                <w:b w:val="0"/>
                <w:i w:val="0"/>
                <w:color w:val="1A2B33"/>
                <w:sz w:val="18"/>
              </w:rPr>
              <w:t>CRITERIO</w:t>
            </w:r>
          </w:p>
        </w:tc>
        <w:tc>
          <w:tcPr>
            <w:tcW w:type="dxa" w:w="2600"/>
            <w:shd w:val="clear" w:color="auto" w:fill="F6F8F8"/>
          </w:tcPr>
          <w:p>
            <w:pPr>
              <w:spacing w:before="20" w:after="20"/>
            </w:pPr>
            <w:r>
              <w:rPr>
                <w:rFonts w:ascii="Calibri" w:hAnsi="Calibri"/>
                <w:b w:val="0"/>
                <w:i w:val="0"/>
                <w:color w:val="1A2B33"/>
                <w:sz w:val="18"/>
              </w:rPr>
              <w:t>Patrones MINSAL 2018 (nacimiento a 19 años)</w:t>
            </w:r>
          </w:p>
        </w:tc>
        <w:tc>
          <w:tcPr>
            <w:tcW w:type="dxa" w:w="1500"/>
            <w:shd w:val="clear" w:color="auto" w:fill="F6F8F8"/>
          </w:tcPr>
          <w:p>
            <w:pPr>
              <w:spacing w:before="20" w:after="20"/>
            </w:pPr>
            <w:r>
              <w:rPr>
                <w:rFonts w:ascii="Calibri" w:hAnsi="Calibri"/>
                <w:b w:val="0"/>
                <w:i w:val="0"/>
                <w:color w:val="1A2B33"/>
                <w:sz w:val="18"/>
              </w:rPr>
              <w:t>Chile</w:t>
            </w:r>
          </w:p>
        </w:tc>
        <w:tc>
          <w:tcPr>
            <w:tcW w:type="dxa" w:w="1760"/>
            <w:shd w:val="clear" w:color="auto" w:fill="F6F8F8"/>
          </w:tcPr>
          <w:p>
            <w:pPr>
              <w:spacing w:before="20" w:after="20"/>
            </w:pPr>
            <w:r>
              <w:rPr>
                <w:rFonts w:ascii="Calibri" w:hAnsi="Calibri"/>
                <w:b w:val="0"/>
                <w:i w:val="0"/>
                <w:color w:val="1A2B33"/>
                <w:sz w:val="18"/>
              </w:rPr>
              <w:t>Clasificación</w:t>
            </w:r>
          </w:p>
        </w:tc>
        <w:tc>
          <w:tcPr>
            <w:tcW w:type="dxa" w:w="2000"/>
            <w:shd w:val="clear" w:color="auto" w:fill="F6F8F8"/>
          </w:tcPr>
          <w:p>
            <w:pPr>
              <w:spacing w:before="20" w:after="20"/>
            </w:pPr>
            <w:r>
              <w:rPr>
                <w:rFonts w:ascii="Calibri" w:hAnsi="Calibri"/>
                <w:b w:val="0"/>
                <w:i w:val="0"/>
                <w:color w:val="1A2B33"/>
                <w:sz w:val="18"/>
              </w:rPr>
              <w:t>Interpretación profesional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OMS</w:t>
            </w:r>
          </w:p>
        </w:tc>
        <w:tc>
          <w:tcPr>
            <w:tcW w:type="dxa" w:w="2600"/>
          </w:tcPr>
          <w:p>
            <w:pPr>
              <w:spacing w:before="20" w:after="20"/>
            </w:pPr>
            <w:r>
              <w:rPr>
                <w:rFonts w:ascii="Calibri" w:hAnsi="Calibri"/>
                <w:b w:val="0"/>
                <w:i w:val="0"/>
                <w:color w:val="1A2B33"/>
                <w:sz w:val="17"/>
              </w:rPr>
              <w:t>WHO Child Growth Standards (LMS)</w:t>
            </w:r>
          </w:p>
        </w:tc>
        <w:tc>
          <w:tcPr>
            <w:tcW w:type="dxa" w:w="700"/>
          </w:tcPr>
          <w:p>
            <w:pPr>
              <w:spacing w:before="20" w:after="20"/>
            </w:pPr>
            <w:r>
              <w:rPr>
                <w:rFonts w:ascii="Calibri" w:hAnsi="Calibri"/>
                <w:b w:val="0"/>
                <w:i w:val="0"/>
                <w:color w:val="1A2B33"/>
                <w:sz w:val="17"/>
              </w:rPr>
              <w:t>2006</w:t>
            </w:r>
          </w:p>
        </w:tc>
        <w:tc>
          <w:tcPr>
            <w:tcW w:type="dxa" w:w="2160"/>
          </w:tcPr>
          <w:p>
            <w:pPr>
              <w:spacing w:before="20" w:after="20"/>
            </w:pPr>
            <w:r>
              <w:rPr>
                <w:rFonts w:ascii="Calibri" w:hAnsi="Calibri"/>
                <w:b w:val="0"/>
                <w:i w:val="0"/>
                <w:color w:val="1A2B33"/>
                <w:sz w:val="17"/>
              </w:rPr>
              <w:t>Patrones 0–5 a</w:t>
            </w:r>
          </w:p>
        </w:tc>
        <w:tc>
          <w:tcPr>
            <w:tcW w:type="dxa" w:w="1700"/>
          </w:tcPr>
          <w:p>
            <w:pPr>
              <w:spacing w:before="20" w:after="20"/>
            </w:pPr>
            <w:r>
              <w:rPr>
                <w:rFonts w:ascii="Calibri" w:hAnsi="Calibri"/>
                <w:b w:val="0"/>
                <w:i w:val="0"/>
                <w:color w:val="1A2B33"/>
                <w:sz w:val="17"/>
              </w:rPr>
              <w:t>NORMA_OFICIAL</w:t>
            </w:r>
          </w:p>
        </w:tc>
      </w:tr>
      <w:tr>
        <w:tc>
          <w:tcPr>
            <w:tcW w:type="dxa" w:w="2200"/>
            <w:shd w:val="clear" w:color="auto" w:fill="F6F8F8"/>
          </w:tcPr>
          <w:p>
            <w:pPr>
              <w:spacing w:before="20" w:after="20"/>
            </w:pPr>
            <w:r>
              <w:rPr>
                <w:rFonts w:ascii="Calibri" w:hAnsi="Calibri"/>
                <w:b w:val="0"/>
                <w:i w:val="0"/>
                <w:color w:val="1A2B33"/>
                <w:sz w:val="17"/>
              </w:rPr>
              <w:t>MINSAL</w:t>
            </w:r>
          </w:p>
        </w:tc>
        <w:tc>
          <w:tcPr>
            <w:tcW w:type="dxa" w:w="2600"/>
            <w:shd w:val="clear" w:color="auto" w:fill="F6F8F8"/>
          </w:tcPr>
          <w:p>
            <w:pPr>
              <w:spacing w:before="20" w:after="20"/>
            </w:pPr>
            <w:r>
              <w:rPr>
                <w:rFonts w:ascii="Calibri" w:hAnsi="Calibri"/>
                <w:b w:val="0"/>
                <w:i w:val="0"/>
                <w:color w:val="1A2B33"/>
                <w:sz w:val="17"/>
              </w:rPr>
              <w:t>Patrones de crecimiento 2018</w:t>
            </w:r>
          </w:p>
        </w:tc>
        <w:tc>
          <w:tcPr>
            <w:tcW w:type="dxa" w:w="700"/>
            <w:shd w:val="clear" w:color="auto" w:fill="F6F8F8"/>
          </w:tcPr>
          <w:p>
            <w:pPr>
              <w:spacing w:before="20" w:after="20"/>
            </w:pPr>
            <w:r>
              <w:rPr>
                <w:rFonts w:ascii="Calibri" w:hAnsi="Calibri"/>
                <w:b w:val="0"/>
                <w:i w:val="0"/>
                <w:color w:val="1A2B33"/>
                <w:sz w:val="17"/>
              </w:rPr>
              <w:t>2018</w:t>
            </w:r>
          </w:p>
        </w:tc>
        <w:tc>
          <w:tcPr>
            <w:tcW w:type="dxa" w:w="2160"/>
            <w:shd w:val="clear" w:color="auto" w:fill="F6F8F8"/>
          </w:tcPr>
          <w:p>
            <w:pPr>
              <w:spacing w:before="20" w:after="20"/>
            </w:pPr>
            <w:r>
              <w:rPr>
                <w:rFonts w:ascii="Calibri" w:hAnsi="Calibri"/>
                <w:b w:val="0"/>
                <w:i w:val="0"/>
                <w:color w:val="1A2B33"/>
                <w:sz w:val="17"/>
              </w:rPr>
              <w:t>Clasificación 0–19 a</w:t>
            </w:r>
          </w:p>
        </w:tc>
        <w:tc>
          <w:tcPr>
            <w:tcW w:type="dxa" w:w="1700"/>
            <w:shd w:val="clear" w:color="auto" w:fill="F6F8F8"/>
          </w:tcPr>
          <w:p>
            <w:pPr>
              <w:spacing w:before="20" w:after="20"/>
            </w:pPr>
            <w:r>
              <w:rPr>
                <w:rFonts w:ascii="Calibri" w:hAnsi="Calibri"/>
                <w:b w:val="0"/>
                <w:i w:val="0"/>
                <w:color w:val="1A2B33"/>
                <w:sz w:val="17"/>
              </w:rPr>
              <w:t>NORMA_OFICIAL</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Exactitud matemática ≠ validación clínica; no es diagnóstico médico automático. Cada indicador tiene su rango de edad/talla. Requiere mediciones antropométricas correctas.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clínico profesional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utilizar como único criterio diagnóstico</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NMX-14-MINSAL-UDD · Evaluación Pediátrica OMS/MINSAL + UDD (Fuentes Resueltas)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NMX-09 · Calculadora de Percentiles OMS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NMX-15 · Biblioteca Profesional de Fórmulas</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NMX-14-INTEGRADO</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NMX-14_Evaluacion_Nutricional_Pediatrica_v2_0_1_QA_CORREGIDO_COMERCIAL_PRE_P19_REPARADO_PRE_P19.xlsx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v2.0.1</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17   </w:t>
            </w:r>
            <w:r>
              <w:rPr>
                <w:rFonts w:ascii="Calibri" w:hAnsi="Calibri"/>
                <w:b/>
                <w:i w:val="0"/>
                <w:color w:val="FFFFFF"/>
                <w:sz w:val="25"/>
              </w:rPr>
              <w:t>DIFERENCIACIÓN DE PRODUCTO</w:t>
            </w:r>
          </w:p>
        </w:tc>
      </w:tr>
    </w:tbl>
    <w:p>
      <w:pPr>
        <w:spacing w:after="40"/>
      </w:pPr>
    </w:p>
    <w:p>
      <w:pPr>
        <w:spacing w:before="40" w:after="80" w:line="276" w:lineRule="auto"/>
      </w:pPr>
      <w:r>
        <w:rPr>
          <w:rFonts w:ascii="Calibri" w:hAnsi="Calibri"/>
          <w:b w:val="0"/>
          <w:i w:val="0"/>
          <w:color w:val="1A2B33"/>
          <w:sz w:val="20"/>
        </w:rPr>
        <w:t>Frente a NMX-14-MINSAL/UDD: este es el LIBRO OPERATIVO 'todo en uno' (12 hojas) centrado en cálculo, curvas y seguimiento.</w:t>
      </w:r>
    </w:p>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NMX-14-INTEGRADO · Evaluación Nutricional Pediátrica Integral</w:t>
            </w:r>
          </w:p>
          <w:p>
            <w:pPr>
              <w:spacing w:before="80" w:after="0"/>
              <w:jc w:val="center"/>
            </w:pPr>
            <w:r>
              <w:rPr>
                <w:rFonts w:ascii="Calibri" w:hAnsi="Calibri"/>
                <w:b w:val="0"/>
                <w:i w:val="0"/>
                <w:color w:val="EDF2F1"/>
                <w:sz w:val="20"/>
              </w:rPr>
              <w:t>Fase 6 · Pediatría · v2.0.1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NMX-14-INTEGRADO · Evaluación Nutricional Pediátrica Integral</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