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NMX-14-MINSAL-UDD</w:t>
      </w:r>
    </w:p>
    <w:p>
      <w:pPr>
        <w:spacing w:before="0" w:after="160" w:line="252" w:lineRule="auto"/>
      </w:pPr>
      <w:r>
        <w:rPr>
          <w:rFonts w:ascii="Calibri" w:hAnsi="Calibri"/>
          <w:b/>
          <w:i w:val="0"/>
          <w:color w:val="1A2B33"/>
          <w:sz w:val="38"/>
        </w:rPr>
        <w:t>Evaluación Pediátrica OMS/MINSAL + UDD (Fuentes Resueltas)</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6 · Pediatría</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Arquitectura documental pediátrica</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v3.1.18</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Fórmulas universales; sin XLOOKUP, _xlfn ni _xludf (declarado). Amplia capa de hojas ocultas (tablas OMS, reglas, módulos).</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NMX-14_MINSAL_UDD_v3_1_18CA_CORREGIDO_COMERCIAL_PRE_P19_REPARADO_PRE_P19.xlsx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NMX-14-MINSAL-UDD · Evaluación Pediátrica OMS/MINSAL + UDD (Fuentes Resueltas)</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6 · Pediatría</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Arquitectura documental pediátrica</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Docente; Nutricionista (apoyo clínico profesional); Estudiante de Nutrición y Dietética (avanzado)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Evaluar el estado nutricional pediátrico con trazabilidad de fuentes primarias resueltas y módulos para situaciones especiales (prematuridad, síndrome de Down, parálisis cerebral, perímetro cefálico, edad biológica).</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(meses); Antropometría: Peso, Talla/longitud, Perímetro cefálico; Clínica: Situación especial (prematuridad, Down, PC) cuando aplique</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Interpretación pediátrica; Informe y gráfico</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v3.1.18</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Fórmulas universales; sin XLOOKUP, _xlfn ni _xludf (declarado). Amplia capa de hojas ocultas (tablas OMS, reglas, módulos).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NMX-14-MINSAL/UDD (versión 3.1, 'fuentes resueltas') es la variante documental y modular de la evaluación pediátrica: 31 hojas donde la interfaz clínica (Ingreso, Interpretación, Gráfico, Informe) se apoya en una extensa capa oculta de tablas oficiales, reglas y módulos por situación especial —prematuridad, perímetro cefálico, síndrome de Down, parálisis cerebral, edad biológica— con trazabilidad OMS/MINSAL prioritaria y el Manual UDD como fuente secundaria de contraste. Cita la NT MINSAL N.º 218 (2.ª ed. 2021, Res. Ex. N.º 55). Es la pieza de gobernanza documental de la Fase 6.</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Evaluar el estado nutricional pediátrico con trazabilidad de fuentes primarias resueltas y módulos para situaciones especiales (prematuridad, síndrome de Down, parálisis cerebral, perímetro cefálico, edad biológica).</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el caso y obtener interpretación.</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Aplicar módulos de situaciones especiales cuando corresponda.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Consultar la trazabilidad OMS/MINSAL/UDD resuelta.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 (avanzado)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0–228 meses (0–19 años) según tabla aplicable; NT MINSAL N.º 218 (0–9 años) y patrones MINSAL 2018.</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Ingreso e interpretación</w:t>
            </w:r>
          </w:p>
        </w:tc>
        <w:tc>
          <w:tcPr>
            <w:tcW w:type="dxa" w:w="2500"/>
          </w:tcPr>
          <w:p>
            <w:pPr>
              <w:spacing w:before="20" w:after="20"/>
            </w:pPr>
            <w:r>
              <w:rPr>
                <w:rFonts w:ascii="Calibri" w:hAnsi="Calibri"/>
                <w:b w:val="0"/>
                <w:i w:val="0"/>
                <w:color w:val="1A2B33"/>
                <w:sz w:val="18"/>
              </w:rPr>
              <w:t>Registra el caso y lo interpreta</w:t>
            </w:r>
          </w:p>
        </w:tc>
        <w:tc>
          <w:tcPr>
            <w:tcW w:type="dxa" w:w="2000"/>
          </w:tcPr>
          <w:p>
            <w:pPr>
              <w:spacing w:before="20" w:after="20"/>
            </w:pPr>
            <w:r>
              <w:rPr>
                <w:rFonts w:ascii="Calibri" w:hAnsi="Calibri"/>
                <w:b w:val="0"/>
                <w:i w:val="0"/>
                <w:color w:val="1A2B33"/>
                <w:sz w:val="18"/>
              </w:rPr>
              <w:t>Datos antropométricos</w:t>
            </w:r>
          </w:p>
        </w:tc>
        <w:tc>
          <w:tcPr>
            <w:tcW w:type="dxa" w:w="2160"/>
          </w:tcPr>
          <w:p>
            <w:pPr>
              <w:spacing w:before="20" w:after="20"/>
            </w:pPr>
            <w:r>
              <w:rPr>
                <w:rFonts w:ascii="Calibri" w:hAnsi="Calibri"/>
                <w:b w:val="0"/>
                <w:i w:val="0"/>
                <w:color w:val="1A2B33"/>
                <w:sz w:val="18"/>
              </w:rPr>
              <w:t>Interpretación pediátrica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Módulos especiales</w:t>
            </w:r>
          </w:p>
        </w:tc>
        <w:tc>
          <w:tcPr>
            <w:tcW w:type="dxa" w:w="2500"/>
            <w:shd w:val="clear" w:color="auto" w:fill="F6F8F8"/>
          </w:tcPr>
          <w:p>
            <w:pPr>
              <w:spacing w:before="20" w:after="20"/>
            </w:pPr>
            <w:r>
              <w:rPr>
                <w:rFonts w:ascii="Calibri" w:hAnsi="Calibri"/>
                <w:b w:val="0"/>
                <w:i w:val="0"/>
                <w:color w:val="1A2B33"/>
                <w:sz w:val="18"/>
              </w:rPr>
              <w:t>Ajusta según prematuridad/Down/PC/PCe/edad biológica</w:t>
            </w:r>
          </w:p>
        </w:tc>
        <w:tc>
          <w:tcPr>
            <w:tcW w:type="dxa" w:w="2000"/>
            <w:shd w:val="clear" w:color="auto" w:fill="F6F8F8"/>
          </w:tcPr>
          <w:p>
            <w:pPr>
              <w:spacing w:before="20" w:after="20"/>
            </w:pPr>
            <w:r>
              <w:rPr>
                <w:rFonts w:ascii="Calibri" w:hAnsi="Calibri"/>
                <w:b w:val="0"/>
                <w:i w:val="0"/>
                <w:color w:val="1A2B33"/>
                <w:sz w:val="18"/>
              </w:rPr>
              <w:t>Situación especial</w:t>
            </w:r>
          </w:p>
        </w:tc>
        <w:tc>
          <w:tcPr>
            <w:tcW w:type="dxa" w:w="2160"/>
            <w:shd w:val="clear" w:color="auto" w:fill="F6F8F8"/>
          </w:tcPr>
          <w:p>
            <w:pPr>
              <w:spacing w:before="20" w:after="20"/>
            </w:pPr>
            <w:r>
              <w:rPr>
                <w:rFonts w:ascii="Calibri" w:hAnsi="Calibri"/>
                <w:b w:val="0"/>
                <w:i w:val="0"/>
                <w:color w:val="1A2B33"/>
                <w:sz w:val="18"/>
              </w:rPr>
              <w:t>Evaluación ajustada</w:t>
            </w:r>
          </w:p>
        </w:tc>
        <w:tc>
          <w:tcPr>
            <w:tcW w:type="dxa" w:w="1200"/>
            <w:shd w:val="clear" w:color="auto" w:fill="F6F8F8"/>
          </w:tcPr>
          <w:p>
            <w:pPr>
              <w:spacing w:before="20" w:after="20"/>
            </w:pPr>
            <w:r>
              <w:rPr>
                <w:rFonts w:ascii="Calibri" w:hAnsi="Calibri"/>
                <w:b w:val="0"/>
                <w:i w:val="0"/>
                <w:color w:val="1A2B33"/>
                <w:sz w:val="18"/>
              </w:rPr>
              <w:t>Avanzado</w:t>
            </w:r>
          </w:p>
        </w:tc>
      </w:tr>
      <w:tr>
        <w:tc>
          <w:tcPr>
            <w:tcW w:type="dxa" w:w="1500"/>
          </w:tcPr>
          <w:p>
            <w:pPr>
              <w:spacing w:before="20" w:after="20"/>
            </w:pPr>
            <w:r>
              <w:rPr>
                <w:rFonts w:ascii="Calibri" w:hAnsi="Calibri"/>
                <w:b w:val="0"/>
                <w:i w:val="0"/>
                <w:color w:val="1A2B33"/>
                <w:sz w:val="18"/>
              </w:rPr>
              <w:t>Trazabilidad de fuentes</w:t>
            </w:r>
          </w:p>
        </w:tc>
        <w:tc>
          <w:tcPr>
            <w:tcW w:type="dxa" w:w="2500"/>
          </w:tcPr>
          <w:p>
            <w:pPr>
              <w:spacing w:before="20" w:after="20"/>
            </w:pPr>
            <w:r>
              <w:rPr>
                <w:rFonts w:ascii="Calibri" w:hAnsi="Calibri"/>
                <w:b w:val="0"/>
                <w:i w:val="0"/>
                <w:color w:val="1A2B33"/>
                <w:sz w:val="18"/>
              </w:rPr>
              <w:t>Documenta OMS/MINSAL/UDD resueltas</w:t>
            </w:r>
          </w:p>
        </w:tc>
        <w:tc>
          <w:tcPr>
            <w:tcW w:type="dxa" w:w="2000"/>
          </w:tcPr>
          <w:p>
            <w:pPr>
              <w:spacing w:before="20" w:after="20"/>
            </w:pPr>
            <w:r>
              <w:rPr>
                <w:rFonts w:ascii="Calibri" w:hAnsi="Calibri"/>
                <w:b w:val="0"/>
                <w:i w:val="0"/>
                <w:color w:val="1A2B33"/>
                <w:sz w:val="18"/>
              </w:rPr>
              <w:t>Consulta</w:t>
            </w:r>
          </w:p>
        </w:tc>
        <w:tc>
          <w:tcPr>
            <w:tcW w:type="dxa" w:w="2160"/>
          </w:tcPr>
          <w:p>
            <w:pPr>
              <w:spacing w:before="20" w:after="20"/>
            </w:pPr>
            <w:r>
              <w:rPr>
                <w:rFonts w:ascii="Calibri" w:hAnsi="Calibri"/>
                <w:b w:val="0"/>
                <w:i w:val="0"/>
                <w:color w:val="1A2B33"/>
                <w:sz w:val="18"/>
              </w:rPr>
              <w:t>Trazabilidad verificada</w:t>
            </w:r>
          </w:p>
        </w:tc>
        <w:tc>
          <w:tcPr>
            <w:tcW w:type="dxa" w:w="1200"/>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 (meses)</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Peso, Talla/longitud, Perímetro cefálico</w:t>
      </w:r>
    </w:p>
    <w:p>
      <w:pPr>
        <w:spacing w:before="60" w:after="20" w:line="276" w:lineRule="auto"/>
      </w:pPr>
      <w:r>
        <w:rPr>
          <w:rFonts w:ascii="Calibri" w:hAnsi="Calibri"/>
          <w:b/>
          <w:i w:val="0"/>
          <w:color w:val="0A3E3A"/>
          <w:sz w:val="20"/>
        </w:rPr>
        <w:t>Clínica</w:t>
      </w:r>
    </w:p>
    <w:p>
      <w:pPr>
        <w:spacing w:before="40" w:after="60" w:line="276" w:lineRule="auto"/>
      </w:pPr>
      <w:r>
        <w:rPr>
          <w:rFonts w:ascii="Calibri" w:hAnsi="Calibri"/>
          <w:b w:val="0"/>
          <w:i w:val="0"/>
          <w:color w:val="1A2B33"/>
          <w:sz w:val="19"/>
        </w:rPr>
        <w:t>Situación especial (prematuridad, Down, PC) cuando aplique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Interpretación pediátrica</w:t>
            </w:r>
          </w:p>
        </w:tc>
        <w:tc>
          <w:tcPr>
            <w:tcW w:type="dxa" w:w="1700"/>
          </w:tcPr>
          <w:p>
            <w:pPr>
              <w:spacing w:before="20" w:after="20"/>
            </w:pPr>
            <w:r>
              <w:rPr>
                <w:rFonts w:ascii="Calibri" w:hAnsi="Calibri"/>
                <w:b w:val="0"/>
                <w:i w:val="0"/>
                <w:color w:val="1A2B33"/>
                <w:sz w:val="18"/>
              </w:rPr>
              <w:t>INTERPRETACIÓN</w:t>
            </w:r>
          </w:p>
        </w:tc>
        <w:tc>
          <w:tcPr>
            <w:tcW w:type="dxa" w:w="1560"/>
          </w:tcPr>
          <w:p>
            <w:pPr>
              <w:spacing w:before="20" w:after="20"/>
            </w:pPr>
            <w:r>
              <w:rPr>
                <w:rFonts w:ascii="Calibri" w:hAnsi="Calibri"/>
                <w:b w:val="0"/>
                <w:i w:val="0"/>
                <w:color w:val="1A2B33"/>
                <w:sz w:val="18"/>
              </w:rPr>
              <w:t>clasificación</w:t>
            </w:r>
          </w:p>
        </w:tc>
        <w:tc>
          <w:tcPr>
            <w:tcW w:type="dxa" w:w="3100"/>
          </w:tcPr>
          <w:p>
            <w:pPr>
              <w:spacing w:before="20" w:after="20"/>
            </w:pPr>
            <w:r>
              <w:rPr>
                <w:rFonts w:ascii="Calibri" w:hAnsi="Calibri"/>
                <w:b w:val="0"/>
                <w:i w:val="0"/>
                <w:color w:val="1A2B33"/>
                <w:sz w:val="18"/>
              </w:rPr>
              <w:t>Depende de datos y tabla aplicable</w:t>
            </w:r>
          </w:p>
        </w:tc>
      </w:tr>
      <w:tr>
        <w:tc>
          <w:tcPr>
            <w:tcW w:type="dxa" w:w="3000"/>
            <w:shd w:val="clear" w:color="auto" w:fill="F6F8F8"/>
          </w:tcPr>
          <w:p>
            <w:pPr>
              <w:spacing w:before="20" w:after="20"/>
            </w:pPr>
            <w:r>
              <w:rPr>
                <w:rFonts w:ascii="Calibri" w:hAnsi="Calibri"/>
                <w:b w:val="0"/>
                <w:i w:val="0"/>
                <w:color w:val="1A2B33"/>
                <w:sz w:val="18"/>
              </w:rPr>
              <w:t>Informe y gráfico</w:t>
            </w:r>
          </w:p>
        </w:tc>
        <w:tc>
          <w:tcPr>
            <w:tcW w:type="dxa" w:w="1700"/>
            <w:shd w:val="clear" w:color="auto" w:fill="F6F8F8"/>
          </w:tcPr>
          <w:p>
            <w:pPr>
              <w:spacing w:before="20" w:after="20"/>
            </w:pPr>
            <w:r>
              <w:rPr>
                <w:rFonts w:ascii="Calibri" w:hAnsi="Calibri"/>
                <w:b w:val="0"/>
                <w:i w:val="0"/>
                <w:color w:val="1A2B33"/>
                <w:sz w:val="18"/>
              </w:rPr>
              <w:t>INFORME</w:t>
            </w:r>
          </w:p>
        </w:tc>
        <w:tc>
          <w:tcPr>
            <w:tcW w:type="dxa" w:w="1560"/>
            <w:shd w:val="clear" w:color="auto" w:fill="F6F8F8"/>
          </w:tcPr>
          <w:p>
            <w:pPr>
              <w:spacing w:before="20" w:after="20"/>
            </w:pPr>
            <w:r>
              <w:rPr>
                <w:rFonts w:ascii="Calibri" w:hAnsi="Calibri"/>
                <w:b w:val="0"/>
                <w:i w:val="0"/>
                <w:color w:val="1A2B33"/>
                <w:sz w:val="18"/>
              </w:rPr>
              <w:t>estructura/curva</w:t>
            </w:r>
          </w:p>
        </w:tc>
        <w:tc>
          <w:tcPr>
            <w:tcW w:type="dxa" w:w="3100"/>
            <w:shd w:val="clear" w:color="auto" w:fill="F6F8F8"/>
          </w:tcPr>
          <w:p>
            <w:pPr>
              <w:spacing w:before="20" w:after="20"/>
            </w:pPr>
            <w:r>
              <w:rPr>
                <w:rFonts w:ascii="Calibri" w:hAnsi="Calibri"/>
                <w:b w:val="0"/>
                <w:i w:val="0"/>
                <w:color w:val="1A2B33"/>
                <w:sz w:val="18"/>
              </w:rPr>
              <w:t>Depende de la evaluación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Ingreso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Interpretación</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GRÁFICO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Informe</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(MÓDULOS ESPECIALES)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Ingreso</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Interpretación</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Informe</w:t>
            </w:r>
          </w:p>
        </w:tc>
        <w:tc>
          <w:tcPr>
            <w:tcW w:type="dxa" w:w="5760"/>
            <w:shd w:val="clear" w:color="auto" w:fill="F6F8F8"/>
          </w:tcPr>
          <w:p>
            <w:pPr>
              <w:spacing w:before="20" w:after="20"/>
            </w:pPr>
            <w:r>
              <w:rPr>
                <w:rFonts w:ascii="Calibri" w:hAnsi="Calibri"/>
                <w:b w:val="0"/>
                <w:i w:val="0"/>
                <w:color w:val="1A2B33"/>
                <w:sz w:val="18"/>
              </w:rPr>
              <w:t>INFORME</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31 hojas (12 visibles y 19 ocultas o auxiliares). Incorpora aproximadamente 291 fórmulas, 2 gráficos, 0 tablas estructuradas y 14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Menor ficticio prematuro que requiere corrección de edad.</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 el caso y se activa el módulo de prematuridad.</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ajusta la evaluación y documenta la fuente aplicada.</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interpretación y el informe se revisan profesionalmente.</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CRITERIO</w:t>
            </w:r>
          </w:p>
        </w:tc>
        <w:tc>
          <w:tcPr>
            <w:tcW w:type="dxa" w:w="2600"/>
          </w:tcPr>
          <w:p>
            <w:pPr>
              <w:spacing w:before="20" w:after="20"/>
            </w:pPr>
            <w:r>
              <w:rPr>
                <w:rFonts w:ascii="Calibri" w:hAnsi="Calibri"/>
                <w:b w:val="0"/>
                <w:i w:val="0"/>
                <w:color w:val="1A2B33"/>
                <w:sz w:val="18"/>
              </w:rPr>
              <w:t>NT MINSAL N.º 218 (2.ª ed. 2021) — 0–9 años</w:t>
            </w:r>
          </w:p>
        </w:tc>
        <w:tc>
          <w:tcPr>
            <w:tcW w:type="dxa" w:w="1500"/>
          </w:tcPr>
          <w:p>
            <w:pPr>
              <w:spacing w:before="20" w:after="20"/>
            </w:pPr>
            <w:r>
              <w:rPr>
                <w:rFonts w:ascii="Calibri" w:hAnsi="Calibri"/>
                <w:b w:val="0"/>
                <w:i w:val="0"/>
                <w:color w:val="1A2B33"/>
                <w:sz w:val="18"/>
              </w:rPr>
              <w:t>Chile</w:t>
            </w:r>
          </w:p>
        </w:tc>
        <w:tc>
          <w:tcPr>
            <w:tcW w:type="dxa" w:w="1760"/>
          </w:tcPr>
          <w:p>
            <w:pPr>
              <w:spacing w:before="20" w:after="20"/>
            </w:pPr>
            <w:r>
              <w:rPr>
                <w:rFonts w:ascii="Calibri" w:hAnsi="Calibri"/>
                <w:b w:val="0"/>
                <w:i w:val="0"/>
                <w:color w:val="1A2B33"/>
                <w:sz w:val="18"/>
              </w:rPr>
              <w:t>Supervisión de salud</w:t>
            </w:r>
          </w:p>
        </w:tc>
        <w:tc>
          <w:tcPr>
            <w:tcW w:type="dxa" w:w="2000"/>
          </w:tcPr>
          <w:p>
            <w:pPr>
              <w:spacing w:before="20" w:after="20"/>
            </w:pPr>
            <w:r>
              <w:rPr>
                <w:rFonts w:ascii="Calibri" w:hAnsi="Calibri"/>
                <w:b w:val="0"/>
                <w:i w:val="0"/>
                <w:color w:val="1A2B33"/>
                <w:sz w:val="18"/>
              </w:rPr>
              <w:t>Alcance 0–9 años</w:t>
            </w:r>
          </w:p>
        </w:tc>
      </w:tr>
      <w:tr>
        <w:tc>
          <w:tcPr>
            <w:tcW w:type="dxa" w:w="1500"/>
            <w:shd w:val="clear" w:color="auto" w:fill="F6F8F8"/>
          </w:tcPr>
          <w:p>
            <w:pPr>
              <w:spacing w:before="20" w:after="20"/>
            </w:pPr>
            <w:r>
              <w:rPr>
                <w:rFonts w:ascii="Calibri" w:hAnsi="Calibri"/>
                <w:b w:val="0"/>
                <w:i w:val="0"/>
                <w:color w:val="1A2B33"/>
                <w:sz w:val="18"/>
              </w:rPr>
              <w:t>CRITERIO</w:t>
            </w:r>
          </w:p>
        </w:tc>
        <w:tc>
          <w:tcPr>
            <w:tcW w:type="dxa" w:w="2600"/>
            <w:shd w:val="clear" w:color="auto" w:fill="F6F8F8"/>
          </w:tcPr>
          <w:p>
            <w:pPr>
              <w:spacing w:before="20" w:after="20"/>
            </w:pPr>
            <w:r>
              <w:rPr>
                <w:rFonts w:ascii="Calibri" w:hAnsi="Calibri"/>
                <w:b w:val="0"/>
                <w:i w:val="0"/>
                <w:color w:val="1A2B33"/>
                <w:sz w:val="18"/>
              </w:rPr>
              <w:t>Patrones MINSAL 2018 (0–19 años)</w:t>
            </w:r>
          </w:p>
        </w:tc>
        <w:tc>
          <w:tcPr>
            <w:tcW w:type="dxa" w:w="1500"/>
            <w:shd w:val="clear" w:color="auto" w:fill="F6F8F8"/>
          </w:tcPr>
          <w:p>
            <w:pPr>
              <w:spacing w:before="20" w:after="20"/>
            </w:pPr>
            <w:r>
              <w:rPr>
                <w:rFonts w:ascii="Calibri" w:hAnsi="Calibri"/>
                <w:b w:val="0"/>
                <w:i w:val="0"/>
                <w:color w:val="1A2B33"/>
                <w:sz w:val="18"/>
              </w:rPr>
              <w:t>Chile</w:t>
            </w:r>
          </w:p>
        </w:tc>
        <w:tc>
          <w:tcPr>
            <w:tcW w:type="dxa" w:w="1760"/>
            <w:shd w:val="clear" w:color="auto" w:fill="F6F8F8"/>
          </w:tcPr>
          <w:p>
            <w:pPr>
              <w:spacing w:before="20" w:after="20"/>
            </w:pPr>
            <w:r>
              <w:rPr>
                <w:rFonts w:ascii="Calibri" w:hAnsi="Calibri"/>
                <w:b w:val="0"/>
                <w:i w:val="0"/>
                <w:color w:val="1A2B33"/>
                <w:sz w:val="18"/>
              </w:rPr>
              <w:t>Clasificación</w:t>
            </w:r>
          </w:p>
        </w:tc>
        <w:tc>
          <w:tcPr>
            <w:tcW w:type="dxa" w:w="2000"/>
            <w:shd w:val="clear" w:color="auto" w:fill="F6F8F8"/>
          </w:tcPr>
          <w:p>
            <w:pPr>
              <w:spacing w:before="20" w:after="20"/>
            </w:pPr>
            <w:r>
              <w:rPr>
                <w:rFonts w:ascii="Calibri" w:hAnsi="Calibri"/>
                <w:b w:val="0"/>
                <w:i w:val="0"/>
                <w:color w:val="1A2B33"/>
                <w:sz w:val="18"/>
              </w:rPr>
              <w:t>Interpretación profesional</w:t>
            </w:r>
          </w:p>
        </w:tc>
      </w:tr>
      <w:tr>
        <w:tc>
          <w:tcPr>
            <w:tcW w:type="dxa" w:w="1500"/>
          </w:tcPr>
          <w:p>
            <w:pPr>
              <w:spacing w:before="20" w:after="20"/>
            </w:pPr>
            <w:r>
              <w:rPr>
                <w:rFonts w:ascii="Calibri" w:hAnsi="Calibri"/>
                <w:b w:val="0"/>
                <w:i w:val="0"/>
                <w:color w:val="1A2B33"/>
                <w:sz w:val="18"/>
              </w:rPr>
              <w:t>REGLA DE IMPLEMENTACIÓN</w:t>
            </w:r>
          </w:p>
        </w:tc>
        <w:tc>
          <w:tcPr>
            <w:tcW w:type="dxa" w:w="2600"/>
          </w:tcPr>
          <w:p>
            <w:pPr>
              <w:spacing w:before="20" w:after="20"/>
            </w:pPr>
            <w:r>
              <w:rPr>
                <w:rFonts w:ascii="Calibri" w:hAnsi="Calibri"/>
                <w:b w:val="0"/>
                <w:i w:val="0"/>
                <w:color w:val="1A2B33"/>
                <w:sz w:val="18"/>
              </w:rPr>
              <w:t>OMS/MINSAL prioritarios; UDD como fuente secundaria</w:t>
            </w:r>
          </w:p>
        </w:tc>
        <w:tc>
          <w:tcPr>
            <w:tcW w:type="dxa" w:w="1500"/>
          </w:tcPr>
          <w:p>
            <w:pPr>
              <w:spacing w:before="20" w:after="20"/>
            </w:pPr>
            <w:r>
              <w:rPr>
                <w:rFonts w:ascii="Calibri" w:hAnsi="Calibri"/>
                <w:b w:val="0"/>
                <w:i w:val="0"/>
                <w:color w:val="1A2B33"/>
                <w:sz w:val="18"/>
              </w:rPr>
              <w:t>Chile</w:t>
            </w:r>
          </w:p>
        </w:tc>
        <w:tc>
          <w:tcPr>
            <w:tcW w:type="dxa" w:w="1760"/>
          </w:tcPr>
          <w:p>
            <w:pPr>
              <w:spacing w:before="20" w:after="20"/>
            </w:pPr>
            <w:r>
              <w:rPr>
                <w:rFonts w:ascii="Calibri" w:hAnsi="Calibri"/>
                <w:b w:val="0"/>
                <w:i w:val="0"/>
                <w:color w:val="1A2B33"/>
                <w:sz w:val="18"/>
              </w:rPr>
              <w:t>Trazabilidad</w:t>
            </w:r>
          </w:p>
        </w:tc>
        <w:tc>
          <w:tcPr>
            <w:tcW w:type="dxa" w:w="2000"/>
          </w:tcPr>
          <w:p>
            <w:pPr>
              <w:spacing w:before="20" w:after="20"/>
            </w:pPr>
            <w:r>
              <w:rPr>
                <w:rFonts w:ascii="Calibri" w:hAnsi="Calibri"/>
                <w:b w:val="0"/>
                <w:i w:val="0"/>
                <w:color w:val="1A2B33"/>
                <w:sz w:val="18"/>
              </w:rPr>
              <w:t>Contraste documental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MINSAL</w:t>
            </w:r>
          </w:p>
        </w:tc>
        <w:tc>
          <w:tcPr>
            <w:tcW w:type="dxa" w:w="2600"/>
          </w:tcPr>
          <w:p>
            <w:pPr>
              <w:spacing w:before="20" w:after="20"/>
            </w:pPr>
            <w:r>
              <w:rPr>
                <w:rFonts w:ascii="Calibri" w:hAnsi="Calibri"/>
                <w:b w:val="0"/>
                <w:i w:val="0"/>
                <w:color w:val="1A2B33"/>
                <w:sz w:val="17"/>
              </w:rPr>
              <w:t>NT N.º 218, 2.ª ed. (Res. Ex. N.º 55, 18-10-2021)</w:t>
            </w:r>
          </w:p>
        </w:tc>
        <w:tc>
          <w:tcPr>
            <w:tcW w:type="dxa" w:w="700"/>
          </w:tcPr>
          <w:p>
            <w:pPr>
              <w:spacing w:before="20" w:after="20"/>
            </w:pPr>
            <w:r>
              <w:rPr>
                <w:rFonts w:ascii="Calibri" w:hAnsi="Calibri"/>
                <w:b w:val="0"/>
                <w:i w:val="0"/>
                <w:color w:val="1A2B33"/>
                <w:sz w:val="17"/>
              </w:rPr>
              <w:t>2021</w:t>
            </w:r>
          </w:p>
        </w:tc>
        <w:tc>
          <w:tcPr>
            <w:tcW w:type="dxa" w:w="2160"/>
          </w:tcPr>
          <w:p>
            <w:pPr>
              <w:spacing w:before="20" w:after="20"/>
            </w:pPr>
            <w:r>
              <w:rPr>
                <w:rFonts w:ascii="Calibri" w:hAnsi="Calibri"/>
                <w:b w:val="0"/>
                <w:i w:val="0"/>
                <w:color w:val="1A2B33"/>
                <w:sz w:val="17"/>
              </w:rPr>
              <w:t>Supervisión 0–9 a</w:t>
            </w:r>
          </w:p>
        </w:tc>
        <w:tc>
          <w:tcPr>
            <w:tcW w:type="dxa" w:w="1700"/>
          </w:tcPr>
          <w:p>
            <w:pPr>
              <w:spacing w:before="20" w:after="20"/>
            </w:pPr>
            <w:r>
              <w:rPr>
                <w:rFonts w:ascii="Calibri" w:hAnsi="Calibri"/>
                <w:b w:val="0"/>
                <w:i w:val="0"/>
                <w:color w:val="1A2B33"/>
                <w:sz w:val="17"/>
              </w:rPr>
              <w:t>NORMA_OFICIAL</w:t>
            </w:r>
          </w:p>
        </w:tc>
      </w:tr>
      <w:tr>
        <w:tc>
          <w:tcPr>
            <w:tcW w:type="dxa" w:w="2200"/>
            <w:shd w:val="clear" w:color="auto" w:fill="F6F8F8"/>
          </w:tcPr>
          <w:p>
            <w:pPr>
              <w:spacing w:before="20" w:after="20"/>
            </w:pPr>
            <w:r>
              <w:rPr>
                <w:rFonts w:ascii="Calibri" w:hAnsi="Calibri"/>
                <w:b w:val="0"/>
                <w:i w:val="0"/>
                <w:color w:val="1A2B33"/>
                <w:sz w:val="17"/>
              </w:rPr>
              <w:t>OMS / MINSAL 2018</w:t>
            </w:r>
          </w:p>
        </w:tc>
        <w:tc>
          <w:tcPr>
            <w:tcW w:type="dxa" w:w="2600"/>
            <w:shd w:val="clear" w:color="auto" w:fill="F6F8F8"/>
          </w:tcPr>
          <w:p>
            <w:pPr>
              <w:spacing w:before="20" w:after="20"/>
            </w:pPr>
            <w:r>
              <w:rPr>
                <w:rFonts w:ascii="Calibri" w:hAnsi="Calibri"/>
                <w:b w:val="0"/>
                <w:i w:val="0"/>
                <w:color w:val="1A2B33"/>
                <w:sz w:val="17"/>
              </w:rPr>
              <w:t>Patrones de crecimiento 0–19 a</w:t>
            </w:r>
          </w:p>
        </w:tc>
        <w:tc>
          <w:tcPr>
            <w:tcW w:type="dxa" w:w="700"/>
            <w:shd w:val="clear" w:color="auto" w:fill="F6F8F8"/>
          </w:tcPr>
          <w:p>
            <w:pPr>
              <w:spacing w:before="20" w:after="20"/>
            </w:pPr>
            <w:r>
              <w:rPr>
                <w:rFonts w:ascii="Calibri" w:hAnsi="Calibri"/>
                <w:b w:val="0"/>
                <w:i w:val="0"/>
                <w:color w:val="1A2B33"/>
                <w:sz w:val="17"/>
              </w:rPr>
              <w:t>2006/2018</w:t>
            </w:r>
          </w:p>
        </w:tc>
        <w:tc>
          <w:tcPr>
            <w:tcW w:type="dxa" w:w="2160"/>
            <w:shd w:val="clear" w:color="auto" w:fill="F6F8F8"/>
          </w:tcPr>
          <w:p>
            <w:pPr>
              <w:spacing w:before="20" w:after="20"/>
            </w:pPr>
            <w:r>
              <w:rPr>
                <w:rFonts w:ascii="Calibri" w:hAnsi="Calibri"/>
                <w:b w:val="0"/>
                <w:i w:val="0"/>
                <w:color w:val="1A2B33"/>
                <w:sz w:val="17"/>
              </w:rPr>
              <w:t>Clasificación</w:t>
            </w:r>
          </w:p>
        </w:tc>
        <w:tc>
          <w:tcPr>
            <w:tcW w:type="dxa" w:w="1700"/>
            <w:shd w:val="clear" w:color="auto" w:fill="F6F8F8"/>
          </w:tcPr>
          <w:p>
            <w:pPr>
              <w:spacing w:before="20" w:after="20"/>
            </w:pPr>
            <w:r>
              <w:rPr>
                <w:rFonts w:ascii="Calibri" w:hAnsi="Calibri"/>
                <w:b w:val="0"/>
                <w:i w:val="0"/>
                <w:color w:val="1A2B33"/>
                <w:sz w:val="17"/>
              </w:rPr>
              <w:t>NORMA_OFICIAL</w:t>
            </w:r>
          </w:p>
        </w:tc>
      </w:tr>
      <w:tr>
        <w:tc>
          <w:tcPr>
            <w:tcW w:type="dxa" w:w="2200"/>
          </w:tcPr>
          <w:p>
            <w:pPr>
              <w:spacing w:before="20" w:after="20"/>
            </w:pPr>
            <w:r>
              <w:rPr>
                <w:rFonts w:ascii="Calibri" w:hAnsi="Calibri"/>
                <w:b w:val="0"/>
                <w:i w:val="0"/>
                <w:color w:val="1A2B33"/>
                <w:sz w:val="17"/>
              </w:rPr>
              <w:t>Manual UDD</w:t>
            </w:r>
          </w:p>
        </w:tc>
        <w:tc>
          <w:tcPr>
            <w:tcW w:type="dxa" w:w="2600"/>
          </w:tcPr>
          <w:p>
            <w:pPr>
              <w:spacing w:before="20" w:after="20"/>
            </w:pPr>
            <w:r>
              <w:rPr>
                <w:rFonts w:ascii="Calibri" w:hAnsi="Calibri"/>
                <w:b w:val="0"/>
                <w:i w:val="0"/>
                <w:color w:val="1A2B33"/>
                <w:sz w:val="17"/>
              </w:rPr>
              <w:t>Protocolos e inventario (secundaria)</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Contraste</w:t>
            </w:r>
          </w:p>
        </w:tc>
        <w:tc>
          <w:tcPr>
            <w:tcW w:type="dxa" w:w="1700"/>
          </w:tcPr>
          <w:p>
            <w:pPr>
              <w:spacing w:before="20" w:after="20"/>
            </w:pPr>
            <w:r>
              <w:rPr>
                <w:rFonts w:ascii="Calibri" w:hAnsi="Calibri"/>
                <w:b w:val="0"/>
                <w:i w:val="0"/>
                <w:color w:val="1A2B33"/>
                <w:sz w:val="17"/>
              </w:rPr>
              <w:t>FUENTE_SECUNDARIA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Cada tabla tiene su rango; la NT 218 cubre 0–9 años. Requiere interpretación profesional. Exactitud ≠ validación clínica.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NMX-14-INTEGRADO · Evaluación Nutricional Pediátrica Integral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NMX-09 · Calculadora de Percentiles OMS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NMX-15 · Biblioteca Profesional de Fórmulas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NMX-14-MINSAL-UDD</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NMX-14_MINSAL_UDD_v3_1_18CA_CORREGIDO_COMERCIAL_PRE_P19_REPARADO_PRE_P19.xlsx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v3.1.18</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17   </w:t>
            </w:r>
            <w:r>
              <w:rPr>
                <w:rFonts w:ascii="Calibri" w:hAnsi="Calibri"/>
                <w:b/>
                <w:i w:val="0"/>
                <w:color w:val="FFFFFF"/>
                <w:sz w:val="25"/>
              </w:rPr>
              <w:t>DIFERENCIACIÓN DE PRODUCTO</w:t>
            </w:r>
          </w:p>
        </w:tc>
      </w:tr>
    </w:tbl>
    <w:p>
      <w:pPr>
        <w:spacing w:after="40"/>
      </w:pPr>
    </w:p>
    <w:p>
      <w:pPr>
        <w:spacing w:before="40" w:after="80" w:line="276" w:lineRule="auto"/>
      </w:pPr>
      <w:r>
        <w:rPr>
          <w:rFonts w:ascii="Calibri" w:hAnsi="Calibri"/>
          <w:b w:val="0"/>
          <w:i w:val="0"/>
          <w:color w:val="1A2B33"/>
          <w:sz w:val="20"/>
        </w:rPr>
        <w:t>Frente a NMX-14-INTEGRADO: este es la ARQUITECTURA DOCUMENTAL/MODULAR (31 hojas) con trazabilidad de fuentes y módulos por situación especial.</w:t>
      </w:r>
    </w:p>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NMX-14-MINSAL-UDD · Evaluación Pediátrica OMS/MINSAL + UDD (Fuentes Resueltas)</w:t>
            </w:r>
          </w:p>
          <w:p>
            <w:pPr>
              <w:spacing w:before="80" w:after="0"/>
              <w:jc w:val="center"/>
            </w:pPr>
            <w:r>
              <w:rPr>
                <w:rFonts w:ascii="Calibri" w:hAnsi="Calibri"/>
                <w:b w:val="0"/>
                <w:i w:val="0"/>
                <w:color w:val="EDF2F1"/>
                <w:sz w:val="20"/>
              </w:rPr>
              <w:t>Fase 6 · Pediatría · v3.1.18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NMX-14-MINSAL-UDD · Evaluación Pediátrica OMS/MINSAL + UDD (Fuente</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