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NMX-15</w:t>
      </w:r>
    </w:p>
    <w:p>
      <w:pPr>
        <w:spacing w:before="0" w:after="160" w:line="252" w:lineRule="auto"/>
      </w:pPr>
      <w:r>
        <w:rPr>
          <w:rFonts w:ascii="Calibri" w:hAnsi="Calibri"/>
          <w:b/>
          <w:i w:val="0"/>
          <w:color w:val="1A2B33"/>
          <w:sz w:val="38"/>
        </w:rPr>
        <w:t>Biblioteca Profesional de Fórmulas</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2 · Bases y Bibliotecas</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Biblioteca de referencia transversal</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v1.0</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.xlsx sin macros (declarado en INICIO). Contiene hojas internas ocultas (PRUEBAS, CONFIG, CHANGELOG).</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NMX-15_Biblioteca_Formulas_v1_0(3)_COMERCIAL_PRE_P19_REPARADO_PRE_P19.xlsx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NMX-15 · Biblioteca Profesional de Fórmulas</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2 · Bases y Bibliotecas</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Biblioteca de referencia transversal</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Estudiante de Nutrición y Dietética; Docente; Nutricionista (apoyo académico)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Reunir y auditar las fórmulas de la suite con sus referencias primarias y nivel de verificación, como biblioteca de consulta.</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Otros: Consulta (no requiere ingreso de datos de paciente)</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Ecuaciones por dominio; Bibliografía y licencias</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v1.0</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.xlsx sin macros (declarado en INICIO). Contiene hojas internas ocultas (PRUEBAS, CONFIG, CHANGELOG).</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NMX-15 es la biblioteca de fórmulas de NUTRIMETRÍA: una hoja por dominio (ENERGIA, CRECIMIENTO, COMPOSICION, SOMATOTIPO, FIABILIDAD, RENAL, DEPORTE, CONDUCTA) que reúne las ecuaciones usadas por la colección, con sus publicaciones primarias, DOI/URL cuando corresponde y nivel de verificación. El propio libro aclara que es una biblioteca de REFERENCIA y NO un motor de cálculo clínico. Es la pieza documental central de la Fase 2.</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Reunir y auditar las fórmulas de la suite con sus referencias primarias y nivel de verificación, como biblioteca de consulta.</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Consultar la ecuación de un dominio y su fuente primaria.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Verificar el nivel de evidencia y las condiciones de licencia.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Servir de referencia común a los motores de la suite.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académico)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Transversal a la colección (energía, crecimiento, composición, somatotipo, fiabilidad, renal, deporte, conducta). No es un motor clínico.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Consulta de fórmulas</w:t>
            </w:r>
          </w:p>
        </w:tc>
        <w:tc>
          <w:tcPr>
            <w:tcW w:type="dxa" w:w="2500"/>
          </w:tcPr>
          <w:p>
            <w:pPr>
              <w:spacing w:before="20" w:after="20"/>
            </w:pPr>
            <w:r>
              <w:rPr>
                <w:rFonts w:ascii="Calibri" w:hAnsi="Calibri"/>
                <w:b w:val="0"/>
                <w:i w:val="0"/>
                <w:color w:val="1A2B33"/>
                <w:sz w:val="18"/>
              </w:rPr>
              <w:t>Presenta la ecuación de cada dominio con su fuente</w:t>
            </w:r>
          </w:p>
        </w:tc>
        <w:tc>
          <w:tcPr>
            <w:tcW w:type="dxa" w:w="2000"/>
          </w:tcPr>
          <w:p>
            <w:pPr>
              <w:spacing w:before="20" w:after="20"/>
            </w:pPr>
            <w:r>
              <w:rPr>
                <w:rFonts w:ascii="Calibri" w:hAnsi="Calibri"/>
                <w:b w:val="0"/>
                <w:i w:val="0"/>
                <w:color w:val="1A2B33"/>
                <w:sz w:val="18"/>
              </w:rPr>
              <w:t>Selección de dominio/hoja</w:t>
            </w:r>
          </w:p>
        </w:tc>
        <w:tc>
          <w:tcPr>
            <w:tcW w:type="dxa" w:w="2160"/>
          </w:tcPr>
          <w:p>
            <w:pPr>
              <w:spacing w:before="20" w:after="20"/>
            </w:pPr>
            <w:r>
              <w:rPr>
                <w:rFonts w:ascii="Calibri" w:hAnsi="Calibri"/>
                <w:b w:val="0"/>
                <w:i w:val="0"/>
                <w:color w:val="1A2B33"/>
                <w:sz w:val="18"/>
              </w:rPr>
              <w:t>Ecuación + referencia + nivel</w:t>
            </w:r>
          </w:p>
        </w:tc>
        <w:tc>
          <w:tcPr>
            <w:tcW w:type="dxa" w:w="1200"/>
          </w:tcPr>
          <w:p>
            <w:pPr>
              <w:spacing w:before="20" w:after="20"/>
            </w:pPr>
            <w:r>
              <w:rPr>
                <w:rFonts w:ascii="Calibri" w:hAnsi="Calibri"/>
                <w:b w:val="0"/>
                <w:i w:val="0"/>
                <w:color w:val="1A2B33"/>
                <w:sz w:val="18"/>
              </w:rPr>
              <w:t>Básico</w:t>
            </w:r>
          </w:p>
        </w:tc>
      </w:tr>
      <w:tr>
        <w:tc>
          <w:tcPr>
            <w:tcW w:type="dxa" w:w="1500"/>
            <w:shd w:val="clear" w:color="auto" w:fill="F6F8F8"/>
          </w:tcPr>
          <w:p>
            <w:pPr>
              <w:spacing w:before="20" w:after="20"/>
            </w:pPr>
            <w:r>
              <w:rPr>
                <w:rFonts w:ascii="Calibri" w:hAnsi="Calibri"/>
                <w:b w:val="0"/>
                <w:i w:val="0"/>
                <w:color w:val="1A2B33"/>
                <w:sz w:val="18"/>
              </w:rPr>
              <w:t>Bibliografía consolidada</w:t>
            </w:r>
          </w:p>
        </w:tc>
        <w:tc>
          <w:tcPr>
            <w:tcW w:type="dxa" w:w="2500"/>
            <w:shd w:val="clear" w:color="auto" w:fill="F6F8F8"/>
          </w:tcPr>
          <w:p>
            <w:pPr>
              <w:spacing w:before="20" w:after="20"/>
            </w:pPr>
            <w:r>
              <w:rPr>
                <w:rFonts w:ascii="Calibri" w:hAnsi="Calibri"/>
                <w:b w:val="0"/>
                <w:i w:val="0"/>
                <w:color w:val="1A2B33"/>
                <w:sz w:val="18"/>
              </w:rPr>
              <w:t>Reúne las referencias primarias de la suite</w:t>
            </w:r>
          </w:p>
        </w:tc>
        <w:tc>
          <w:tcPr>
            <w:tcW w:type="dxa" w:w="2000"/>
            <w:shd w:val="clear" w:color="auto" w:fill="F6F8F8"/>
          </w:tcPr>
          <w:p>
            <w:pPr>
              <w:spacing w:before="20" w:after="20"/>
            </w:pPr>
            <w:r>
              <w:rPr>
                <w:rFonts w:ascii="Calibri" w:hAnsi="Calibri"/>
                <w:b w:val="0"/>
                <w:i w:val="0"/>
                <w:color w:val="1A2B33"/>
                <w:sz w:val="18"/>
              </w:rPr>
              <w:t>Consulta</w:t>
            </w:r>
          </w:p>
        </w:tc>
        <w:tc>
          <w:tcPr>
            <w:tcW w:type="dxa" w:w="2160"/>
            <w:shd w:val="clear" w:color="auto" w:fill="F6F8F8"/>
          </w:tcPr>
          <w:p>
            <w:pPr>
              <w:spacing w:before="20" w:after="20"/>
            </w:pPr>
            <w:r>
              <w:rPr>
                <w:rFonts w:ascii="Calibri" w:hAnsi="Calibri"/>
                <w:b w:val="0"/>
                <w:i w:val="0"/>
                <w:color w:val="1A2B33"/>
                <w:sz w:val="18"/>
              </w:rPr>
              <w:t>Tabla de fuentes con licencia</w:t>
            </w:r>
          </w:p>
        </w:tc>
        <w:tc>
          <w:tcPr>
            <w:tcW w:type="dxa" w:w="1200"/>
            <w:shd w:val="clear" w:color="auto" w:fill="F6F8F8"/>
          </w:tcPr>
          <w:p>
            <w:pPr>
              <w:spacing w:before="20" w:after="20"/>
            </w:pPr>
            <w:r>
              <w:rPr>
                <w:rFonts w:ascii="Calibri" w:hAnsi="Calibri"/>
                <w:b w:val="0"/>
                <w:i w:val="0"/>
                <w:color w:val="1A2B33"/>
                <w:sz w:val="18"/>
              </w:rPr>
              <w:t>Intermedio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Otros</w:t>
      </w:r>
    </w:p>
    <w:p>
      <w:pPr>
        <w:spacing w:before="40" w:after="60" w:line="276" w:lineRule="auto"/>
      </w:pPr>
      <w:r>
        <w:rPr>
          <w:rFonts w:ascii="Calibri" w:hAnsi="Calibri"/>
          <w:b w:val="0"/>
          <w:i w:val="0"/>
          <w:color w:val="1A2B33"/>
          <w:sz w:val="19"/>
        </w:rPr>
        <w:t>Consulta (no requiere ingreso de datos de paciente)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Ecuaciones por dominio</w:t>
            </w:r>
          </w:p>
        </w:tc>
        <w:tc>
          <w:tcPr>
            <w:tcW w:type="dxa" w:w="1700"/>
          </w:tcPr>
          <w:p>
            <w:pPr>
              <w:spacing w:before="20" w:after="20"/>
            </w:pPr>
            <w:r>
              <w:rPr>
                <w:rFonts w:ascii="Calibri" w:hAnsi="Calibri"/>
                <w:b w:val="0"/>
                <w:i w:val="0"/>
                <w:color w:val="1A2B33"/>
                <w:sz w:val="18"/>
              </w:rPr>
              <w:t>REGISTRO</w:t>
            </w:r>
          </w:p>
        </w:tc>
        <w:tc>
          <w:tcPr>
            <w:tcW w:type="dxa" w:w="1560"/>
          </w:tcPr>
          <w:p>
            <w:pPr>
              <w:spacing w:before="20" w:after="20"/>
            </w:pPr>
            <w:r>
              <w:rPr>
                <w:rFonts w:ascii="Calibri" w:hAnsi="Calibri"/>
                <w:b w:val="0"/>
                <w:i w:val="0"/>
                <w:color w:val="1A2B33"/>
                <w:sz w:val="18"/>
              </w:rPr>
              <w:t>n/a</w:t>
            </w:r>
          </w:p>
        </w:tc>
        <w:tc>
          <w:tcPr>
            <w:tcW w:type="dxa" w:w="3100"/>
          </w:tcPr>
          <w:p>
            <w:pPr>
              <w:spacing w:before="20" w:after="20"/>
            </w:pPr>
            <w:r>
              <w:rPr>
                <w:rFonts w:ascii="Calibri" w:hAnsi="Calibri"/>
                <w:b w:val="0"/>
                <w:i w:val="0"/>
                <w:color w:val="1A2B33"/>
                <w:sz w:val="18"/>
              </w:rPr>
              <w:t>Independiente de entradas</w:t>
            </w:r>
          </w:p>
        </w:tc>
      </w:tr>
      <w:tr>
        <w:tc>
          <w:tcPr>
            <w:tcW w:type="dxa" w:w="3000"/>
            <w:shd w:val="clear" w:color="auto" w:fill="F6F8F8"/>
          </w:tcPr>
          <w:p>
            <w:pPr>
              <w:spacing w:before="20" w:after="20"/>
            </w:pPr>
            <w:r>
              <w:rPr>
                <w:rFonts w:ascii="Calibri" w:hAnsi="Calibri"/>
                <w:b w:val="0"/>
                <w:i w:val="0"/>
                <w:color w:val="1A2B33"/>
                <w:sz w:val="18"/>
              </w:rPr>
              <w:t>Bibliografía y licencias</w:t>
            </w:r>
          </w:p>
        </w:tc>
        <w:tc>
          <w:tcPr>
            <w:tcW w:type="dxa" w:w="1700"/>
            <w:shd w:val="clear" w:color="auto" w:fill="F6F8F8"/>
          </w:tcPr>
          <w:p>
            <w:pPr>
              <w:spacing w:before="20" w:after="20"/>
            </w:pPr>
            <w:r>
              <w:rPr>
                <w:rFonts w:ascii="Calibri" w:hAnsi="Calibri"/>
                <w:b w:val="0"/>
                <w:i w:val="0"/>
                <w:color w:val="1A2B33"/>
                <w:sz w:val="18"/>
              </w:rPr>
              <w:t>REGISTRO</w:t>
            </w:r>
          </w:p>
        </w:tc>
        <w:tc>
          <w:tcPr>
            <w:tcW w:type="dxa" w:w="1560"/>
            <w:shd w:val="clear" w:color="auto" w:fill="F6F8F8"/>
          </w:tcPr>
          <w:p>
            <w:pPr>
              <w:spacing w:before="20" w:after="20"/>
            </w:pPr>
            <w:r>
              <w:rPr>
                <w:rFonts w:ascii="Calibri" w:hAnsi="Calibri"/>
                <w:b w:val="0"/>
                <w:i w:val="0"/>
                <w:color w:val="1A2B33"/>
                <w:sz w:val="18"/>
              </w:rPr>
              <w:t>n/a</w:t>
            </w:r>
          </w:p>
        </w:tc>
        <w:tc>
          <w:tcPr>
            <w:tcW w:type="dxa" w:w="3100"/>
            <w:shd w:val="clear" w:color="auto" w:fill="F6F8F8"/>
          </w:tcPr>
          <w:p>
            <w:pPr>
              <w:spacing w:before="20" w:after="20"/>
            </w:pPr>
            <w:r>
              <w:rPr>
                <w:rFonts w:ascii="Calibri" w:hAnsi="Calibri"/>
                <w:b w:val="0"/>
                <w:i w:val="0"/>
                <w:color w:val="1A2B33"/>
                <w:sz w:val="18"/>
              </w:rPr>
              <w:t>Independiente de entradas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1441"/>
        <w:gridCol w:w="1441"/>
        <w:gridCol w:w="1441"/>
        <w:gridCol w:w="1441"/>
        <w:gridCol w:w="1441"/>
        <w:gridCol w:w="1441"/>
        <w:gridCol w:w="1441"/>
      </w:tblGrid>
      <w:tr>
        <w:tc>
          <w:tcPr>
            <w:tcW w:type="dxa" w:w="1441"/>
            <w:shd w:val="clear" w:color="auto" w:fill="EDF2F1"/>
          </w:tcPr>
          <w:p>
            <w:pPr>
              <w:spacing w:before="20" w:after="20"/>
              <w:jc w:val="center"/>
            </w:pPr>
            <w:r>
              <w:rPr>
                <w:rFonts w:ascii="Calibri" w:hAnsi="Calibri"/>
                <w:b/>
                <w:i w:val="0"/>
                <w:color w:val="0A3E3A"/>
                <w:sz w:val="15"/>
              </w:rPr>
              <w:t>INICIO</w:t>
            </w:r>
          </w:p>
        </w:tc>
        <w:tc>
          <w:tcPr>
            <w:tcW w:type="dxa" w:w="1441"/>
          </w:tcPr>
          <w:p>
            <w:pPr>
              <w:spacing w:before="20" w:after="20"/>
              <w:jc w:val="center"/>
            </w:pPr>
            <w:r>
              <w:rPr>
                <w:rFonts w:ascii="Calibri" w:hAnsi="Calibri"/>
                <w:b/>
                <w:i w:val="0"/>
                <w:color w:val="C08A2B"/>
                <w:sz w:val="18"/>
              </w:rPr>
              <w:t>→</w:t>
            </w:r>
          </w:p>
        </w:tc>
        <w:tc>
          <w:tcPr>
            <w:tcW w:type="dxa" w:w="1441"/>
            <w:shd w:val="clear" w:color="auto" w:fill="EDF2F1"/>
          </w:tcPr>
          <w:p>
            <w:pPr>
              <w:spacing w:before="20" w:after="20"/>
              <w:jc w:val="center"/>
            </w:pPr>
            <w:r>
              <w:rPr>
                <w:rFonts w:ascii="Calibri" w:hAnsi="Calibri"/>
                <w:b/>
                <w:i w:val="0"/>
                <w:color w:val="0A3E3A"/>
                <w:sz w:val="15"/>
              </w:rPr>
              <w:t>INDICE</w:t>
            </w:r>
          </w:p>
        </w:tc>
        <w:tc>
          <w:tcPr>
            <w:tcW w:type="dxa" w:w="1441"/>
          </w:tcPr>
          <w:p>
            <w:pPr>
              <w:spacing w:before="20" w:after="20"/>
              <w:jc w:val="center"/>
            </w:pPr>
            <w:r>
              <w:rPr>
                <w:rFonts w:ascii="Calibri" w:hAnsi="Calibri"/>
                <w:b/>
                <w:i w:val="0"/>
                <w:color w:val="C08A2B"/>
                <w:sz w:val="18"/>
              </w:rPr>
              <w:t>→</w:t>
            </w:r>
          </w:p>
        </w:tc>
        <w:tc>
          <w:tcPr>
            <w:tcW w:type="dxa" w:w="1441"/>
            <w:shd w:val="clear" w:color="auto" w:fill="EDF2F1"/>
          </w:tcPr>
          <w:p>
            <w:pPr>
              <w:spacing w:before="20" w:after="20"/>
              <w:jc w:val="center"/>
            </w:pPr>
            <w:r>
              <w:rPr>
                <w:rFonts w:ascii="Calibri" w:hAnsi="Calibri"/>
                <w:b/>
                <w:i w:val="0"/>
                <w:color w:val="0A3E3A"/>
                <w:sz w:val="15"/>
              </w:rPr>
              <w:t>(ENERGIA/CRECIMIENTO/COMPOSICION/…)</w:t>
            </w:r>
          </w:p>
        </w:tc>
        <w:tc>
          <w:tcPr>
            <w:tcW w:type="dxa" w:w="1441"/>
          </w:tcPr>
          <w:p>
            <w:pPr>
              <w:spacing w:before="20" w:after="20"/>
              <w:jc w:val="center"/>
            </w:pPr>
            <w:r>
              <w:rPr>
                <w:rFonts w:ascii="Calibri" w:hAnsi="Calibri"/>
                <w:b/>
                <w:i w:val="0"/>
                <w:color w:val="C08A2B"/>
                <w:sz w:val="18"/>
              </w:rPr>
              <w:t>→</w:t>
            </w:r>
          </w:p>
        </w:tc>
        <w:tc>
          <w:tcPr>
            <w:tcW w:type="dxa" w:w="1441"/>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INDICE</w:t>
            </w:r>
          </w:p>
        </w:tc>
        <w:tc>
          <w:tcPr>
            <w:tcW w:type="dxa" w:w="5760"/>
            <w:shd w:val="clear" w:color="auto" w:fill="F6F8F8"/>
          </w:tcPr>
          <w:p>
            <w:pPr>
              <w:spacing w:before="20" w:after="20"/>
            </w:pPr>
            <w:r>
              <w:rPr>
                <w:rFonts w:ascii="Calibri" w:hAnsi="Calibri"/>
                <w:b w:val="0"/>
                <w:i w:val="0"/>
                <w:color w:val="1A2B33"/>
                <w:sz w:val="18"/>
              </w:rPr>
              <w:t>INTERFAZ_USUARIO</w:t>
            </w:r>
          </w:p>
        </w:tc>
      </w:tr>
      <w:tr>
        <w:tc>
          <w:tcPr>
            <w:tcW w:type="dxa" w:w="3600"/>
          </w:tcPr>
          <w:p>
            <w:pPr>
              <w:spacing w:before="20" w:after="20"/>
            </w:pPr>
            <w:r>
              <w:rPr>
                <w:rFonts w:ascii="Calibri" w:hAnsi="Calibri"/>
                <w:b w:val="0"/>
                <w:i w:val="0"/>
                <w:color w:val="1A2B33"/>
                <w:sz w:val="18"/>
              </w:rPr>
              <w:t>FUENTES</w:t>
            </w:r>
          </w:p>
        </w:tc>
        <w:tc>
          <w:tcPr>
            <w:tcW w:type="dxa" w:w="5760"/>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14 hojas (11 visibles y 3 ocultas o auxiliares). Incorpora aproximadamente 123 fórmulas, 0 gráficos, 0 tablas estructuradas y 0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Estudiante que necesita la ecuación de TMB para un caso.</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Abre la hoja ENERGIA de la biblioteca.</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Encuentra la ecuación, su autor/año y su nivel de verificación.</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Usa la referencia para justificar el cálculo en su motor correspondiente.</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REGLA DE IMPLEMENTACIÓN</w:t>
            </w:r>
          </w:p>
        </w:tc>
        <w:tc>
          <w:tcPr>
            <w:tcW w:type="dxa" w:w="2600"/>
          </w:tcPr>
          <w:p>
            <w:pPr>
              <w:spacing w:before="20" w:after="20"/>
            </w:pPr>
            <w:r>
              <w:rPr>
                <w:rFonts w:ascii="Calibri" w:hAnsi="Calibri"/>
                <w:b w:val="0"/>
                <w:i w:val="0"/>
                <w:color w:val="1A2B33"/>
                <w:sz w:val="18"/>
              </w:rPr>
              <w:t>Las obras clásicas se citan sólo por su ecuación (hecho no protegible)</w:t>
            </w:r>
          </w:p>
        </w:tc>
        <w:tc>
          <w:tcPr>
            <w:tcW w:type="dxa" w:w="1500"/>
          </w:tcPr>
          <w:p>
            <w:pPr>
              <w:spacing w:before="20" w:after="20"/>
            </w:pPr>
            <w:r>
              <w:rPr>
                <w:rFonts w:ascii="Calibri" w:hAnsi="Calibri"/>
                <w:b w:val="0"/>
                <w:i w:val="0"/>
                <w:color w:val="1A2B33"/>
                <w:sz w:val="18"/>
              </w:rPr>
              <w:t>Transversal</w:t>
            </w:r>
          </w:p>
        </w:tc>
        <w:tc>
          <w:tcPr>
            <w:tcW w:type="dxa" w:w="1760"/>
          </w:tcPr>
          <w:p>
            <w:pPr>
              <w:spacing w:before="20" w:after="20"/>
            </w:pPr>
            <w:r>
              <w:rPr>
                <w:rFonts w:ascii="Calibri" w:hAnsi="Calibri"/>
                <w:b w:val="0"/>
                <w:i w:val="0"/>
                <w:color w:val="1A2B33"/>
                <w:sz w:val="18"/>
              </w:rPr>
              <w:t>Referencia</w:t>
            </w:r>
          </w:p>
        </w:tc>
        <w:tc>
          <w:tcPr>
            <w:tcW w:type="dxa" w:w="2000"/>
          </w:tcPr>
          <w:p>
            <w:pPr>
              <w:spacing w:before="20" w:after="20"/>
            </w:pPr>
            <w:r>
              <w:rPr>
                <w:rFonts w:ascii="Calibri" w:hAnsi="Calibri"/>
                <w:b w:val="0"/>
                <w:i w:val="0"/>
                <w:color w:val="1A2B33"/>
                <w:sz w:val="18"/>
              </w:rPr>
              <w:t>No redistribuye textos/tablas ajenas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Mifflin, Roza–Shizgal (Harris–Benedict rev.), otros</w:t>
            </w:r>
          </w:p>
        </w:tc>
        <w:tc>
          <w:tcPr>
            <w:tcW w:type="dxa" w:w="2600"/>
          </w:tcPr>
          <w:p>
            <w:pPr>
              <w:spacing w:before="20" w:after="20"/>
            </w:pPr>
            <w:r>
              <w:rPr>
                <w:rFonts w:ascii="Calibri" w:hAnsi="Calibri"/>
                <w:b w:val="0"/>
                <w:i w:val="0"/>
                <w:color w:val="1A2B33"/>
                <w:sz w:val="17"/>
              </w:rPr>
              <w:t>Publicaciones primarias por dominio</w:t>
            </w:r>
          </w:p>
        </w:tc>
        <w:tc>
          <w:tcPr>
            <w:tcW w:type="dxa" w:w="700"/>
          </w:tcPr>
          <w:p>
            <w:pPr>
              <w:spacing w:before="20" w:after="20"/>
            </w:pPr>
            <w:r>
              <w:rPr>
                <w:rFonts w:ascii="Calibri" w:hAnsi="Calibri"/>
                <w:b w:val="0"/>
                <w:i w:val="0"/>
                <w:color w:val="1A2B33"/>
                <w:sz w:val="17"/>
              </w:rPr>
              <w:t>1984–</w:t>
            </w:r>
          </w:p>
        </w:tc>
        <w:tc>
          <w:tcPr>
            <w:tcW w:type="dxa" w:w="2160"/>
          </w:tcPr>
          <w:p>
            <w:pPr>
              <w:spacing w:before="20" w:after="20"/>
            </w:pPr>
            <w:r>
              <w:rPr>
                <w:rFonts w:ascii="Calibri" w:hAnsi="Calibri"/>
                <w:b w:val="0"/>
                <w:i w:val="0"/>
                <w:color w:val="1A2B33"/>
                <w:sz w:val="17"/>
              </w:rPr>
              <w:t>Referencia de fórmulas</w:t>
            </w:r>
          </w:p>
        </w:tc>
        <w:tc>
          <w:tcPr>
            <w:tcW w:type="dxa" w:w="1700"/>
          </w:tcPr>
          <w:p>
            <w:pPr>
              <w:spacing w:before="20" w:after="20"/>
            </w:pPr>
            <w:r>
              <w:rPr>
                <w:rFonts w:ascii="Calibri" w:hAnsi="Calibri"/>
                <w:b w:val="0"/>
                <w:i w:val="0"/>
                <w:color w:val="1A2B33"/>
                <w:sz w:val="17"/>
              </w:rPr>
              <w:t>FUENTE_PRIMARIA</w:t>
            </w:r>
          </w:p>
        </w:tc>
      </w:tr>
      <w:tr>
        <w:tc>
          <w:tcPr>
            <w:tcW w:type="dxa" w:w="2200"/>
            <w:shd w:val="clear" w:color="auto" w:fill="F6F8F8"/>
          </w:tcPr>
          <w:p>
            <w:pPr>
              <w:spacing w:before="20" w:after="20"/>
            </w:pPr>
            <w:r>
              <w:rPr>
                <w:rFonts w:ascii="Calibri" w:hAnsi="Calibri"/>
                <w:b w:val="0"/>
                <w:i w:val="0"/>
                <w:color w:val="1A2B33"/>
                <w:sz w:val="17"/>
              </w:rPr>
              <w:t>INTA 2018</w:t>
            </w:r>
          </w:p>
        </w:tc>
        <w:tc>
          <w:tcPr>
            <w:tcW w:type="dxa" w:w="2600"/>
            <w:shd w:val="clear" w:color="auto" w:fill="F6F8F8"/>
          </w:tcPr>
          <w:p>
            <w:pPr>
              <w:spacing w:before="20" w:after="20"/>
            </w:pPr>
            <w:r>
              <w:rPr>
                <w:rFonts w:ascii="Calibri" w:hAnsi="Calibri"/>
                <w:b w:val="0"/>
                <w:i w:val="0"/>
                <w:color w:val="1A2B33"/>
                <w:sz w:val="17"/>
              </w:rPr>
              <w:t>Base de composición (distribución autorizada por el titular)</w:t>
            </w:r>
          </w:p>
        </w:tc>
        <w:tc>
          <w:tcPr>
            <w:tcW w:type="dxa" w:w="700"/>
            <w:shd w:val="clear" w:color="auto" w:fill="F6F8F8"/>
          </w:tcPr>
          <w:p>
            <w:pPr>
              <w:spacing w:before="20" w:after="20"/>
            </w:pPr>
            <w:r>
              <w:rPr>
                <w:rFonts w:ascii="Calibri" w:hAnsi="Calibri"/>
                <w:b w:val="0"/>
                <w:i w:val="0"/>
                <w:color w:val="1A2B33"/>
                <w:sz w:val="17"/>
              </w:rPr>
              <w:t>2018</w:t>
            </w:r>
          </w:p>
        </w:tc>
        <w:tc>
          <w:tcPr>
            <w:tcW w:type="dxa" w:w="2160"/>
            <w:shd w:val="clear" w:color="auto" w:fill="F6F8F8"/>
          </w:tcPr>
          <w:p>
            <w:pPr>
              <w:spacing w:before="20" w:after="20"/>
            </w:pPr>
            <w:r>
              <w:rPr>
                <w:rFonts w:ascii="Calibri" w:hAnsi="Calibri"/>
                <w:b w:val="0"/>
                <w:i w:val="0"/>
                <w:color w:val="1A2B33"/>
                <w:sz w:val="17"/>
              </w:rPr>
              <w:t>Dominio composición</w:t>
            </w:r>
          </w:p>
        </w:tc>
        <w:tc>
          <w:tcPr>
            <w:tcW w:type="dxa" w:w="1700"/>
            <w:shd w:val="clear" w:color="auto" w:fill="F6F8F8"/>
          </w:tcPr>
          <w:p>
            <w:pPr>
              <w:spacing w:before="20" w:after="20"/>
            </w:pPr>
            <w:r>
              <w:rPr>
                <w:rFonts w:ascii="Calibri" w:hAnsi="Calibri"/>
                <w:b w:val="0"/>
                <w:i w:val="0"/>
                <w:color w:val="1A2B33"/>
                <w:sz w:val="17"/>
              </w:rPr>
              <w:t>ATRIBUCIÓN_REQUERIDA</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Es una biblioteca de referencia, no un motor de cálculo ni un instrumento clínico. La base de composición INTA 2018 cuenta con autorización de distribución del titular. No sustituye asesoría jurídica.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Uso educativo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Apoyo académico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Herramienta de apoyo</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NMX-01 · Calculadora Energética (Necesidades Energéticas)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NMX-10 · Motor de Requerimiento Energético, MET y Efecto Térmico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NMX-12 · Calculadora de Grasa y Composición Corporal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NMX-16 · Calculadora de Somatotipo y Somatocarta (Heath–Carter)</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NMX-36 · Calculadora Especializada de Plicometría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NMX-P1 · Guía del Paquete (Siete Herramientas)</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NMX-15</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NMX-15_Biblioteca_Formulas_v1_0(3)_COMERCIAL_PRE_P19_REPARADO_PRE_P19.xlsx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v1.0</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NMX-15 · Biblioteca Profesional de Fórmulas</w:t>
            </w:r>
          </w:p>
          <w:p>
            <w:pPr>
              <w:spacing w:before="80" w:after="0"/>
              <w:jc w:val="center"/>
            </w:pPr>
            <w:r>
              <w:rPr>
                <w:rFonts w:ascii="Calibri" w:hAnsi="Calibri"/>
                <w:b w:val="0"/>
                <w:i w:val="0"/>
                <w:color w:val="EDF2F1"/>
                <w:sz w:val="20"/>
              </w:rPr>
              <w:t>Fase 2 · Bases y Bibliotecas · v1.0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NMX-15 · Biblioteca Profesional de Fórmulas</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