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20" w:type="dxa"/>
          <w:bottom w:w="220" w:type="dxa"/>
          <w:left w:w="200" w:type="dxa"/>
          <w:right w:w="200" w:type="dxa"/>
        </w:tblCellMar>
        <w:tblW w:w="9360" w:type="dxa"/>
      </w:tblPr>
      <w:tblGrid>
        <w:gridCol w:w="10086"/>
      </w:tblGrid>
      <w:tr>
        <w:tc>
          <w:tcPr>
            <w:tcW w:type="dxa" w:w="10086"/>
            <w:shd w:val="clear" w:color="auto" w:fill="0A3E3A"/>
          </w:tcPr>
          <w:p>
            <w:pPr>
              <w:spacing w:before="0" w:after="0"/>
            </w:pPr>
            <w:r>
              <w:rPr>
                <w:rFonts w:ascii="Calibri" w:hAnsi="Calibri"/>
                <w:b/>
                <w:i w:val="0"/>
                <w:color w:val="FFFFFF"/>
                <w:sz w:val="60"/>
              </w:rPr>
              <w:t>NUTRIMETRÍA</w:t>
            </w:r>
          </w:p>
          <w:p>
            <w:pPr>
              <w:spacing w:before="40" w:after="0"/>
            </w:pPr>
            <w:r>
              <w:rPr>
                <w:rFonts w:ascii="Calibri" w:hAnsi="Calibri"/>
                <w:b w:val="0"/>
                <w:i w:val="0"/>
                <w:color w:val="EDF2F1"/>
                <w:sz w:val="22"/>
              </w:rPr>
              <w:t>Suite de herramientas para Nutrición y Dietética</w:t>
            </w:r>
          </w:p>
        </w:tc>
      </w:tr>
    </w:tbl>
    <w:p>
      <w:pPr>
        <w:spacing w:before="40" w:after="200" w:line="276" w:lineRule="auto"/>
      </w:pPr>
    </w:p>
    <w:p>
      <w:pPr>
        <w:spacing w:before="0" w:after="280"/>
        <w:pBdr>
          <w:bottom w:val="single" w:sz="8" w:space="1" w:color="C08A2B"/>
        </w:pBdr>
      </w:pPr>
    </w:p>
    <w:p>
      <w:pPr>
        <w:spacing w:before="120" w:after="40" w:line="276" w:lineRule="auto"/>
        <w:jc w:val="left"/>
      </w:pPr>
      <w:r>
        <w:rPr>
          <w:rFonts w:ascii="Calibri" w:hAnsi="Calibri"/>
          <w:b/>
          <w:i w:val="0"/>
          <w:color w:val="0F5A54"/>
          <w:sz w:val="80"/>
        </w:rPr>
        <w:t>NMX-17</w:t>
      </w:r>
    </w:p>
    <w:p>
      <w:pPr>
        <w:spacing w:before="0" w:after="160" w:line="252" w:lineRule="auto"/>
      </w:pPr>
      <w:r>
        <w:rPr>
          <w:rFonts w:ascii="Calibri" w:hAnsi="Calibri"/>
          <w:b/>
          <w:i w:val="0"/>
          <w:color w:val="1A2B33"/>
          <w:sz w:val="38"/>
        </w:rPr>
        <w:t>Recordatorio de 24 Horas Conectado a Equivalentes</w:t>
      </w:r>
    </w:p>
    <w:p>
      <w:pPr>
        <w:spacing w:before="40" w:after="120" w:line="276" w:lineRule="auto"/>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700"/>
        <w:gridCol w:w="6660"/>
      </w:tblGrid>
      <w:tr>
        <w:tc>
          <w:tcPr>
            <w:tcW w:type="dxa" w:w="2700"/>
            <w:shd w:val="clear" w:color="auto" w:fill="EDF2F1"/>
          </w:tcPr>
          <w:p>
            <w:pPr>
              <w:spacing w:before="20" w:after="20"/>
            </w:pPr>
            <w:r>
              <w:rPr>
                <w:rFonts w:ascii="Calibri" w:hAnsi="Calibri"/>
                <w:b/>
                <w:i w:val="0"/>
                <w:color w:val="0A3E3A"/>
                <w:sz w:val="19"/>
              </w:rPr>
              <w:t>Fase</w:t>
            </w:r>
          </w:p>
        </w:tc>
        <w:tc>
          <w:tcPr>
            <w:tcW w:type="dxa" w:w="6660"/>
          </w:tcPr>
          <w:p>
            <w:pPr>
              <w:spacing w:before="20" w:after="20"/>
            </w:pPr>
            <w:r>
              <w:rPr>
                <w:rFonts w:ascii="Calibri" w:hAnsi="Calibri"/>
                <w:b w:val="0"/>
                <w:i w:val="0"/>
                <w:color w:val="1A2B33"/>
                <w:sz w:val="19"/>
              </w:rPr>
              <w:t>Fase 3 · Evaluación y Registro</w:t>
            </w:r>
          </w:p>
        </w:tc>
      </w:tr>
      <w:tr>
        <w:tc>
          <w:tcPr>
            <w:tcW w:type="dxa" w:w="2700"/>
            <w:shd w:val="clear" w:color="auto" w:fill="EDF2F1"/>
          </w:tcPr>
          <w:p>
            <w:pPr>
              <w:spacing w:before="20" w:after="20"/>
            </w:pPr>
            <w:r>
              <w:rPr>
                <w:rFonts w:ascii="Calibri" w:hAnsi="Calibri"/>
                <w:b/>
                <w:i w:val="0"/>
                <w:color w:val="0A3E3A"/>
                <w:sz w:val="19"/>
              </w:rPr>
              <w:t>Categoría</w:t>
            </w:r>
          </w:p>
        </w:tc>
        <w:tc>
          <w:tcPr>
            <w:tcW w:type="dxa" w:w="6660"/>
          </w:tcPr>
          <w:p>
            <w:pPr>
              <w:spacing w:before="20" w:after="20"/>
            </w:pPr>
            <w:r>
              <w:rPr>
                <w:rFonts w:ascii="Calibri" w:hAnsi="Calibri"/>
                <w:b w:val="0"/>
                <w:i w:val="0"/>
                <w:color w:val="1A2B33"/>
                <w:sz w:val="19"/>
              </w:rPr>
              <w:t>Evaluación dietética con equivalentes</w:t>
            </w:r>
          </w:p>
        </w:tc>
      </w:tr>
      <w:tr>
        <w:tc>
          <w:tcPr>
            <w:tcW w:type="dxa" w:w="2700"/>
            <w:shd w:val="clear" w:color="auto" w:fill="EDF2F1"/>
          </w:tcPr>
          <w:p>
            <w:pPr>
              <w:spacing w:before="20" w:after="20"/>
            </w:pPr>
            <w:r>
              <w:rPr>
                <w:rFonts w:ascii="Calibri" w:hAnsi="Calibri"/>
                <w:b/>
                <w:i w:val="0"/>
                <w:color w:val="0A3E3A"/>
                <w:sz w:val="19"/>
              </w:rPr>
              <w:t>Versión</w:t>
            </w:r>
          </w:p>
        </w:tc>
        <w:tc>
          <w:tcPr>
            <w:tcW w:type="dxa" w:w="6660"/>
          </w:tcPr>
          <w:p>
            <w:pPr>
              <w:spacing w:before="20" w:after="20"/>
            </w:pPr>
            <w:r>
              <w:rPr>
                <w:rFonts w:ascii="Calibri" w:hAnsi="Calibri"/>
                <w:b w:val="0"/>
                <w:i w:val="0"/>
                <w:color w:val="1A2B33"/>
                <w:sz w:val="19"/>
              </w:rPr>
              <w:t>NO_CONFIRMADO</w:t>
            </w:r>
          </w:p>
        </w:tc>
      </w:tr>
      <w:tr>
        <w:tc>
          <w:tcPr>
            <w:tcW w:type="dxa" w:w="2700"/>
            <w:shd w:val="clear" w:color="auto" w:fill="EDF2F1"/>
          </w:tcPr>
          <w:p>
            <w:pPr>
              <w:spacing w:before="20" w:after="20"/>
            </w:pPr>
            <w:r>
              <w:rPr>
                <w:rFonts w:ascii="Calibri" w:hAnsi="Calibri"/>
                <w:b/>
                <w:i w:val="0"/>
                <w:color w:val="0A3E3A"/>
                <w:sz w:val="19"/>
              </w:rPr>
              <w:t>Año</w:t>
            </w:r>
          </w:p>
        </w:tc>
        <w:tc>
          <w:tcPr>
            <w:tcW w:type="dxa" w:w="6660"/>
          </w:tcPr>
          <w:p>
            <w:pPr>
              <w:spacing w:before="20" w:after="20"/>
            </w:pPr>
            <w:r>
              <w:rPr>
                <w:rFonts w:ascii="Calibri" w:hAnsi="Calibri"/>
                <w:b w:val="0"/>
                <w:i w:val="0"/>
                <w:color w:val="1A2B33"/>
                <w:sz w:val="19"/>
              </w:rPr>
              <w:t>2026</w:t>
            </w:r>
          </w:p>
        </w:tc>
      </w:tr>
      <w:tr>
        <w:tc>
          <w:tcPr>
            <w:tcW w:type="dxa" w:w="2700"/>
            <w:shd w:val="clear" w:color="auto" w:fill="EDF2F1"/>
          </w:tcPr>
          <w:p>
            <w:pPr>
              <w:spacing w:before="20" w:after="20"/>
            </w:pPr>
            <w:r>
              <w:rPr>
                <w:rFonts w:ascii="Calibri" w:hAnsi="Calibri"/>
                <w:b/>
                <w:i w:val="0"/>
                <w:color w:val="0A3E3A"/>
                <w:sz w:val="19"/>
              </w:rPr>
              <w:t>Estado documental</w:t>
            </w:r>
          </w:p>
        </w:tc>
        <w:tc>
          <w:tcPr>
            <w:tcW w:type="dxa" w:w="6660"/>
          </w:tcPr>
          <w:p>
            <w:pPr>
              <w:spacing w:before="20" w:after="20"/>
            </w:pPr>
            <w:r>
              <w:rPr>
                <w:rFonts w:ascii="Calibri" w:hAnsi="Calibri"/>
                <w:b w:val="0"/>
                <w:i w:val="0"/>
                <w:color w:val="1A2B33"/>
                <w:sz w:val="19"/>
              </w:rPr>
              <w:t>PRE_P19 (estado documental declarado en el nombre del archivo)</w:t>
            </w:r>
          </w:p>
        </w:tc>
      </w:tr>
      <w:tr>
        <w:tc>
          <w:tcPr>
            <w:tcW w:type="dxa" w:w="2700"/>
            <w:shd w:val="clear" w:color="auto" w:fill="EDF2F1"/>
          </w:tcPr>
          <w:p>
            <w:pPr>
              <w:spacing w:before="20" w:after="20"/>
            </w:pPr>
            <w:r>
              <w:rPr>
                <w:rFonts w:ascii="Calibri" w:hAnsi="Calibri"/>
                <w:b/>
                <w:i w:val="0"/>
                <w:color w:val="0A3E3A"/>
                <w:sz w:val="19"/>
              </w:rPr>
              <w:t>Formato</w:t>
            </w:r>
          </w:p>
        </w:tc>
        <w:tc>
          <w:tcPr>
            <w:tcW w:type="dxa" w:w="6660"/>
          </w:tcPr>
          <w:p>
            <w:pPr>
              <w:spacing w:before="20" w:after="20"/>
            </w:pPr>
            <w:r>
              <w:rPr>
                <w:rFonts w:ascii="Calibri" w:hAnsi="Calibri"/>
                <w:b w:val="0"/>
                <w:i w:val="0"/>
                <w:color w:val="1A2B33"/>
                <w:sz w:val="19"/>
              </w:rPr>
              <w:t>.xlsx sin macros · Microsoft 365 y Excel 2021 (declarado en INICIO).</w:t>
            </w:r>
          </w:p>
        </w:tc>
      </w:tr>
    </w:tbl>
    <w:p>
      <w:pPr>
        <w:spacing w:before="40" w:after="160" w:line="276" w:lineRule="auto"/>
      </w:pPr>
    </w:p>
    <w:p>
      <w:pPr>
        <w:spacing w:before="0" w:after="120"/>
        <w:pBdr>
          <w:bottom w:val="single" w:sz="8" w:space="1" w:color="D6DEDD"/>
        </w:pBdr>
      </w:pPr>
    </w:p>
    <w:p>
      <w:pPr>
        <w:spacing w:before="40" w:after="40" w:line="276" w:lineRule="auto"/>
      </w:pPr>
      <w:r>
        <w:rPr>
          <w:rFonts w:ascii="Calibri" w:hAnsi="Calibri"/>
          <w:b w:val="0"/>
          <w:i/>
          <w:color w:val="45565E"/>
          <w:sz w:val="18"/>
        </w:rPr>
        <w:t>Herramienta educativa para Nutrición y Dietética · Documento de presentación (portafolio)</w:t>
      </w:r>
    </w:p>
    <w:p>
      <w:pPr>
        <w:spacing w:before="40" w:after="0" w:line="276" w:lineRule="auto"/>
      </w:pPr>
      <w:r>
        <w:rPr>
          <w:rFonts w:ascii="Calibri" w:hAnsi="Calibri"/>
          <w:b w:val="0"/>
          <w:i w:val="0"/>
          <w:color w:val="45565E"/>
          <w:sz w:val="16"/>
        </w:rPr>
        <w:t>Fuente documental: NMX-17_Recordatorio_24h_Equivalentes_aprobado(2)_COMERCIAL_PRE_P19_REPARADO_PRE_P19.xlsx</w:t>
      </w:r>
    </w:p>
    <w:p>
      <w:r>
        <w:br w:type="page"/>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01   </w:t>
            </w:r>
            <w:r>
              <w:rPr>
                <w:rFonts w:ascii="Calibri" w:hAnsi="Calibri"/>
                <w:b/>
                <w:i w:val="0"/>
                <w:color w:val="FFFFFF"/>
                <w:sz w:val="25"/>
              </w:rPr>
              <w:t>FICHA EJECUTIVA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500"/>
        <w:gridCol w:w="6860"/>
      </w:tblGrid>
      <w:tr>
        <w:tc>
          <w:tcPr>
            <w:tcW w:type="dxa" w:w="2500"/>
            <w:shd w:val="clear" w:color="auto" w:fill="EDF2F1"/>
          </w:tcPr>
          <w:p>
            <w:pPr>
              <w:spacing w:before="20" w:after="20"/>
            </w:pPr>
            <w:r>
              <w:rPr>
                <w:rFonts w:ascii="Calibri" w:hAnsi="Calibri"/>
                <w:b/>
                <w:i w:val="0"/>
                <w:color w:val="0A3E3A"/>
                <w:sz w:val="19"/>
              </w:rPr>
              <w:t>Producto</w:t>
            </w:r>
          </w:p>
        </w:tc>
        <w:tc>
          <w:tcPr>
            <w:tcW w:type="dxa" w:w="6860"/>
          </w:tcPr>
          <w:p>
            <w:pPr>
              <w:spacing w:before="20" w:after="20"/>
            </w:pPr>
            <w:r>
              <w:rPr>
                <w:rFonts w:ascii="Calibri" w:hAnsi="Calibri"/>
                <w:b w:val="0"/>
                <w:i w:val="0"/>
                <w:color w:val="1A2B33"/>
                <w:sz w:val="19"/>
              </w:rPr>
              <w:t>NMX-17 · Recordatorio de 24 Horas Conectado a Equivalentes</w:t>
            </w:r>
          </w:p>
        </w:tc>
      </w:tr>
      <w:tr>
        <w:tc>
          <w:tcPr>
            <w:tcW w:type="dxa" w:w="2500"/>
            <w:shd w:val="clear" w:color="auto" w:fill="EDF2F1"/>
          </w:tcPr>
          <w:p>
            <w:pPr>
              <w:spacing w:before="20" w:after="20"/>
            </w:pPr>
            <w:r>
              <w:rPr>
                <w:rFonts w:ascii="Calibri" w:hAnsi="Calibri"/>
                <w:b/>
                <w:i w:val="0"/>
                <w:color w:val="0A3E3A"/>
                <w:sz w:val="19"/>
              </w:rPr>
              <w:t>Fase</w:t>
            </w:r>
          </w:p>
        </w:tc>
        <w:tc>
          <w:tcPr>
            <w:tcW w:type="dxa" w:w="6860"/>
          </w:tcPr>
          <w:p>
            <w:pPr>
              <w:spacing w:before="20" w:after="20"/>
            </w:pPr>
            <w:r>
              <w:rPr>
                <w:rFonts w:ascii="Calibri" w:hAnsi="Calibri"/>
                <w:b w:val="0"/>
                <w:i w:val="0"/>
                <w:color w:val="1A2B33"/>
                <w:sz w:val="19"/>
              </w:rPr>
              <w:t>Fase 3 · Evaluación y Registro</w:t>
            </w:r>
          </w:p>
        </w:tc>
      </w:tr>
      <w:tr>
        <w:tc>
          <w:tcPr>
            <w:tcW w:type="dxa" w:w="2500"/>
            <w:shd w:val="clear" w:color="auto" w:fill="EDF2F1"/>
          </w:tcPr>
          <w:p>
            <w:pPr>
              <w:spacing w:before="20" w:after="20"/>
            </w:pPr>
            <w:r>
              <w:rPr>
                <w:rFonts w:ascii="Calibri" w:hAnsi="Calibri"/>
                <w:b/>
                <w:i w:val="0"/>
                <w:color w:val="0A3E3A"/>
                <w:sz w:val="19"/>
              </w:rPr>
              <w:t>Categoría</w:t>
            </w:r>
          </w:p>
        </w:tc>
        <w:tc>
          <w:tcPr>
            <w:tcW w:type="dxa" w:w="6860"/>
          </w:tcPr>
          <w:p>
            <w:pPr>
              <w:spacing w:before="20" w:after="20"/>
            </w:pPr>
            <w:r>
              <w:rPr>
                <w:rFonts w:ascii="Calibri" w:hAnsi="Calibri"/>
                <w:b w:val="0"/>
                <w:i w:val="0"/>
                <w:color w:val="1A2B33"/>
                <w:sz w:val="19"/>
              </w:rPr>
              <w:t>Evaluación dietética con equivalentes</w:t>
            </w:r>
          </w:p>
        </w:tc>
      </w:tr>
      <w:tr>
        <w:tc>
          <w:tcPr>
            <w:tcW w:type="dxa" w:w="2500"/>
            <w:shd w:val="clear" w:color="auto" w:fill="EDF2F1"/>
          </w:tcPr>
          <w:p>
            <w:pPr>
              <w:spacing w:before="20" w:after="20"/>
            </w:pPr>
            <w:r>
              <w:rPr>
                <w:rFonts w:ascii="Calibri" w:hAnsi="Calibri"/>
                <w:b/>
                <w:i w:val="0"/>
                <w:color w:val="0A3E3A"/>
                <w:sz w:val="19"/>
              </w:rPr>
              <w:t>Público</w:t>
            </w:r>
          </w:p>
        </w:tc>
        <w:tc>
          <w:tcPr>
            <w:tcW w:type="dxa" w:w="6860"/>
          </w:tcPr>
          <w:p>
            <w:pPr>
              <w:spacing w:before="20" w:after="20"/>
            </w:pPr>
            <w:r>
              <w:rPr>
                <w:rFonts w:ascii="Calibri" w:hAnsi="Calibri"/>
                <w:b w:val="0"/>
                <w:i w:val="0"/>
                <w:color w:val="1A2B33"/>
                <w:sz w:val="19"/>
              </w:rPr>
              <w:t>Estudiante de Nutrición y Dietética; Docente; Nutricionista (apoyo académico)</w:t>
            </w:r>
          </w:p>
        </w:tc>
      </w:tr>
      <w:tr>
        <w:tc>
          <w:tcPr>
            <w:tcW w:type="dxa" w:w="2500"/>
            <w:shd w:val="clear" w:color="auto" w:fill="EDF2F1"/>
          </w:tcPr>
          <w:p>
            <w:pPr>
              <w:spacing w:before="20" w:after="20"/>
            </w:pPr>
            <w:r>
              <w:rPr>
                <w:rFonts w:ascii="Calibri" w:hAnsi="Calibri"/>
                <w:b/>
                <w:i w:val="0"/>
                <w:color w:val="0A3E3A"/>
                <w:sz w:val="19"/>
              </w:rPr>
              <w:t>Objetivo</w:t>
            </w:r>
          </w:p>
        </w:tc>
        <w:tc>
          <w:tcPr>
            <w:tcW w:type="dxa" w:w="6860"/>
          </w:tcPr>
          <w:p>
            <w:pPr>
              <w:spacing w:before="20" w:after="20"/>
            </w:pPr>
            <w:r>
              <w:rPr>
                <w:rFonts w:ascii="Calibri" w:hAnsi="Calibri"/>
                <w:b w:val="0"/>
                <w:i w:val="0"/>
                <w:color w:val="1A2B33"/>
                <w:sz w:val="19"/>
              </w:rPr>
              <w:t>Registrar la ingesta de 24 h, evaluar adecuación (INTA 2018) y comparar consumo vs prescripción en equivalentes, con auditoría de la traducción.</w:t>
            </w:r>
          </w:p>
        </w:tc>
      </w:tr>
      <w:tr>
        <w:tc>
          <w:tcPr>
            <w:tcW w:type="dxa" w:w="2500"/>
            <w:shd w:val="clear" w:color="auto" w:fill="EDF2F1"/>
          </w:tcPr>
          <w:p>
            <w:pPr>
              <w:spacing w:before="20" w:after="20"/>
            </w:pPr>
            <w:r>
              <w:rPr>
                <w:rFonts w:ascii="Calibri" w:hAnsi="Calibri"/>
                <w:b/>
                <w:i w:val="0"/>
                <w:color w:val="0A3E3A"/>
                <w:sz w:val="19"/>
              </w:rPr>
              <w:t>Entradas principales</w:t>
            </w:r>
          </w:p>
        </w:tc>
        <w:tc>
          <w:tcPr>
            <w:tcW w:type="dxa" w:w="6860"/>
          </w:tcPr>
          <w:p>
            <w:pPr>
              <w:spacing w:before="20" w:after="20"/>
            </w:pPr>
            <w:r>
              <w:rPr>
                <w:rFonts w:ascii="Calibri" w:hAnsi="Calibri"/>
                <w:b w:val="0"/>
                <w:i w:val="0"/>
                <w:color w:val="1A2B33"/>
                <w:sz w:val="19"/>
              </w:rPr>
              <w:t>Alimentación: Ingesta de 24 h, Prescripción en equivalentes</w:t>
            </w:r>
          </w:p>
        </w:tc>
      </w:tr>
      <w:tr>
        <w:tc>
          <w:tcPr>
            <w:tcW w:type="dxa" w:w="2500"/>
            <w:shd w:val="clear" w:color="auto" w:fill="EDF2F1"/>
          </w:tcPr>
          <w:p>
            <w:pPr>
              <w:spacing w:before="20" w:after="20"/>
            </w:pPr>
            <w:r>
              <w:rPr>
                <w:rFonts w:ascii="Calibri" w:hAnsi="Calibri"/>
                <w:b/>
                <w:i w:val="0"/>
                <w:color w:val="0A3E3A"/>
                <w:sz w:val="19"/>
              </w:rPr>
              <w:t>Resultados principales</w:t>
            </w:r>
          </w:p>
        </w:tc>
        <w:tc>
          <w:tcPr>
            <w:tcW w:type="dxa" w:w="6860"/>
          </w:tcPr>
          <w:p>
            <w:pPr>
              <w:spacing w:before="20" w:after="20"/>
            </w:pPr>
            <w:r>
              <w:rPr>
                <w:rFonts w:ascii="Calibri" w:hAnsi="Calibri"/>
                <w:b w:val="0"/>
                <w:i w:val="0"/>
                <w:color w:val="1A2B33"/>
                <w:sz w:val="19"/>
              </w:rPr>
              <w:t>Adecuación de nutrientes; Consumo vs prescripción (equivalentes)</w:t>
            </w:r>
          </w:p>
        </w:tc>
      </w:tr>
      <w:tr>
        <w:tc>
          <w:tcPr>
            <w:tcW w:type="dxa" w:w="2500"/>
            <w:shd w:val="clear" w:color="auto" w:fill="EDF2F1"/>
          </w:tcPr>
          <w:p>
            <w:pPr>
              <w:spacing w:before="20" w:after="20"/>
            </w:pPr>
            <w:r>
              <w:rPr>
                <w:rFonts w:ascii="Calibri" w:hAnsi="Calibri"/>
                <w:b/>
                <w:i w:val="0"/>
                <w:color w:val="0A3E3A"/>
                <w:sz w:val="19"/>
              </w:rPr>
              <w:t>Nivel sugerido</w:t>
            </w:r>
          </w:p>
        </w:tc>
        <w:tc>
          <w:tcPr>
            <w:tcW w:type="dxa" w:w="6860"/>
          </w:tcPr>
          <w:p>
            <w:pPr>
              <w:spacing w:before="20" w:after="20"/>
            </w:pPr>
            <w:r>
              <w:rPr>
                <w:rFonts w:ascii="Calibri" w:hAnsi="Calibri"/>
                <w:b w:val="0"/>
                <w:i w:val="0"/>
                <w:color w:val="1A2B33"/>
                <w:sz w:val="19"/>
              </w:rPr>
              <w:t>Educativo / apoyo académico</w:t>
            </w:r>
          </w:p>
        </w:tc>
      </w:tr>
      <w:tr>
        <w:tc>
          <w:tcPr>
            <w:tcW w:type="dxa" w:w="2500"/>
            <w:shd w:val="clear" w:color="auto" w:fill="EDF2F1"/>
          </w:tcPr>
          <w:p>
            <w:pPr>
              <w:spacing w:before="20" w:after="20"/>
            </w:pPr>
            <w:r>
              <w:rPr>
                <w:rFonts w:ascii="Calibri" w:hAnsi="Calibri"/>
                <w:b/>
                <w:i w:val="0"/>
                <w:color w:val="0A3E3A"/>
                <w:sz w:val="19"/>
              </w:rPr>
              <w:t>Versión</w:t>
            </w:r>
          </w:p>
        </w:tc>
        <w:tc>
          <w:tcPr>
            <w:tcW w:type="dxa" w:w="6860"/>
          </w:tcPr>
          <w:p>
            <w:pPr>
              <w:spacing w:before="20" w:after="20"/>
            </w:pPr>
            <w:r>
              <w:rPr>
                <w:rFonts w:ascii="Calibri" w:hAnsi="Calibri"/>
                <w:b w:val="0"/>
                <w:i w:val="0"/>
                <w:color w:val="1A2B33"/>
                <w:sz w:val="19"/>
              </w:rPr>
              <w:t>NO_CONFIRMADO</w:t>
            </w:r>
          </w:p>
        </w:tc>
      </w:tr>
      <w:tr>
        <w:tc>
          <w:tcPr>
            <w:tcW w:type="dxa" w:w="2500"/>
            <w:shd w:val="clear" w:color="auto" w:fill="EDF2F1"/>
          </w:tcPr>
          <w:p>
            <w:pPr>
              <w:spacing w:before="20" w:after="20"/>
            </w:pPr>
            <w:r>
              <w:rPr>
                <w:rFonts w:ascii="Calibri" w:hAnsi="Calibri"/>
                <w:b/>
                <w:i w:val="0"/>
                <w:color w:val="0A3E3A"/>
                <w:sz w:val="19"/>
              </w:rPr>
              <w:t>Formato</w:t>
            </w:r>
          </w:p>
        </w:tc>
        <w:tc>
          <w:tcPr>
            <w:tcW w:type="dxa" w:w="6860"/>
          </w:tcPr>
          <w:p>
            <w:pPr>
              <w:spacing w:before="20" w:after="20"/>
            </w:pPr>
            <w:r>
              <w:rPr>
                <w:rFonts w:ascii="Calibri" w:hAnsi="Calibri"/>
                <w:b w:val="0"/>
                <w:i w:val="0"/>
                <w:color w:val="1A2B33"/>
                <w:sz w:val="19"/>
              </w:rPr>
              <w:t>.xlsx sin macros · Microsoft 365 y Excel 2021 (declarado en INICIO).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02   </w:t>
            </w:r>
            <w:r>
              <w:rPr>
                <w:rFonts w:ascii="Calibri" w:hAnsi="Calibri"/>
                <w:b/>
                <w:i w:val="0"/>
                <w:color w:val="FFFFFF"/>
                <w:sz w:val="25"/>
              </w:rPr>
              <w:t>¿QUÉ ES ESTA HERRAMIENTA?</w:t>
            </w:r>
          </w:p>
        </w:tc>
      </w:tr>
    </w:tbl>
    <w:p>
      <w:pPr>
        <w:spacing w:after="40"/>
      </w:pPr>
    </w:p>
    <w:p>
      <w:pPr>
        <w:spacing w:before="40" w:after="120" w:line="288" w:lineRule="auto"/>
      </w:pPr>
      <w:r>
        <w:rPr>
          <w:rFonts w:ascii="Calibri" w:hAnsi="Calibri"/>
          <w:b w:val="0"/>
          <w:i w:val="0"/>
          <w:color w:val="1A2B33"/>
          <w:sz w:val="21"/>
        </w:rPr>
        <w:t>NMX-17 amplía el recordatorio de 24 horas conectándolo al sistema de equivalentes: además de calcular la adecuación de nutrientes con base INTA 2018, traduce la ingesta a equivalentes y la compara con la prescripción, incluyendo una auditoría de esa traducción. Es la variante 'por equivalentes' de la evaluación dietética de la Fase 3, complementaria de NMX-13.</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03   </w:t>
            </w:r>
            <w:r>
              <w:rPr>
                <w:rFonts w:ascii="Calibri" w:hAnsi="Calibri"/>
                <w:b/>
                <w:i w:val="0"/>
                <w:color w:val="FFFFFF"/>
                <w:sz w:val="25"/>
              </w:rPr>
              <w:t>OBJETIVO</w:t>
            </w:r>
          </w:p>
        </w:tc>
      </w:tr>
    </w:tbl>
    <w:p>
      <w:pPr>
        <w:spacing w:after="40"/>
      </w:pPr>
    </w:p>
    <w:p>
      <w:pPr>
        <w:spacing w:before="40" w:after="40" w:line="276" w:lineRule="auto"/>
      </w:pPr>
      <w:r>
        <w:rPr>
          <w:rFonts w:ascii="Calibri" w:hAnsi="Calibri"/>
          <w:b/>
          <w:i w:val="0"/>
          <w:color w:val="0A3E3A"/>
          <w:sz w:val="21"/>
        </w:rPr>
        <w:t>Objetivo general</w:t>
      </w:r>
    </w:p>
    <w:p>
      <w:pPr>
        <w:spacing w:before="40" w:after="120" w:line="276" w:lineRule="auto"/>
      </w:pPr>
      <w:r>
        <w:rPr>
          <w:rFonts w:ascii="Calibri" w:hAnsi="Calibri"/>
          <w:b w:val="0"/>
          <w:i w:val="0"/>
          <w:color w:val="1A2B33"/>
          <w:sz w:val="21"/>
        </w:rPr>
        <w:t>Registrar la ingesta de 24 h, evaluar adecuación (INTA 2018) y comparar consumo vs prescripción en equivalentes, con auditoría de la traducción.</w:t>
      </w:r>
    </w:p>
    <w:p>
      <w:pPr>
        <w:spacing w:before="40" w:after="40" w:line="276" w:lineRule="auto"/>
      </w:pPr>
      <w:r>
        <w:rPr>
          <w:rFonts w:ascii="Calibri" w:hAnsi="Calibri"/>
          <w:b/>
          <w:i w:val="0"/>
          <w:color w:val="0A3E3A"/>
          <w:sz w:val="21"/>
        </w:rPr>
        <w:t>Objetivos específicos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Registrar la ingesta y traducirla a equivalentes.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Comparar consumo vs prescripción en equivalentes.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Auditar la traducción alimento→equivalente.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04   </w:t>
            </w:r>
            <w:r>
              <w:rPr>
                <w:rFonts w:ascii="Calibri" w:hAnsi="Calibri"/>
                <w:b/>
                <w:i w:val="0"/>
                <w:color w:val="FFFFFF"/>
                <w:sz w:val="25"/>
              </w:rPr>
              <w:t>PÚBLICO OBJETIVO · ¿PARA QUÉ SIRVE?</w:t>
            </w:r>
          </w:p>
        </w:tc>
      </w:tr>
    </w:tbl>
    <w:p>
      <w:pPr>
        <w:spacing w:after="40"/>
      </w:pPr>
    </w:p>
    <w:p>
      <w:pPr>
        <w:spacing w:before="40" w:after="40" w:line="276" w:lineRule="auto"/>
      </w:pPr>
      <w:r>
        <w:rPr>
          <w:rFonts w:ascii="Calibri" w:hAnsi="Calibri"/>
          <w:b/>
          <w:i w:val="0"/>
          <w:color w:val="0A3E3A"/>
          <w:sz w:val="21"/>
        </w:rPr>
        <w:t>Público objetivo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Estudiante de Nutrición y Dietética</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Docente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Nutricionista (apoyo académico)</w:t>
      </w:r>
    </w:p>
    <w:p>
      <w:pPr>
        <w:spacing w:before="80" w:after="40" w:line="276" w:lineRule="auto"/>
      </w:pPr>
      <w:r>
        <w:rPr>
          <w:rFonts w:ascii="Calibri" w:hAnsi="Calibri"/>
          <w:b/>
          <w:i w:val="0"/>
          <w:color w:val="0A3E3A"/>
          <w:sz w:val="21"/>
        </w:rPr>
        <w:t>Población de referencia (según el libro)</w:t>
      </w:r>
    </w:p>
    <w:p>
      <w:pPr>
        <w:spacing w:before="40" w:after="120" w:line="276" w:lineRule="auto"/>
      </w:pPr>
      <w:r>
        <w:rPr>
          <w:rFonts w:ascii="Calibri" w:hAnsi="Calibri"/>
          <w:b w:val="0"/>
          <w:i w:val="0"/>
          <w:color w:val="1A2B33"/>
          <w:sz w:val="21"/>
        </w:rPr>
        <w:t>Uso educativo; base INTA 2018.</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05   </w:t>
            </w:r>
            <w:r>
              <w:rPr>
                <w:rFonts w:ascii="Calibri" w:hAnsi="Calibri"/>
                <w:b/>
                <w:i w:val="0"/>
                <w:color w:val="FFFFFF"/>
                <w:sz w:val="25"/>
              </w:rPr>
              <w:t>FUNCIONES PRINCIPALES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500"/>
        <w:gridCol w:w="2000"/>
        <w:gridCol w:w="2160"/>
        <w:gridCol w:w="1200"/>
      </w:tblGrid>
      <w:tr>
        <w:tc>
          <w:tcPr>
            <w:tcW w:type="dxa" w:w="1500"/>
            <w:shd w:val="clear" w:color="auto" w:fill="0F5A54"/>
          </w:tcPr>
          <w:p>
            <w:pPr>
              <w:spacing w:before="20" w:after="20"/>
            </w:pPr>
            <w:r>
              <w:rPr>
                <w:rFonts w:ascii="Calibri" w:hAnsi="Calibri"/>
                <w:b/>
                <w:i w:val="0"/>
                <w:color w:val="FFFFFF"/>
                <w:sz w:val="18"/>
              </w:rPr>
              <w:t>Función</w:t>
            </w:r>
          </w:p>
        </w:tc>
        <w:tc>
          <w:tcPr>
            <w:tcW w:type="dxa" w:w="2500"/>
            <w:shd w:val="clear" w:color="auto" w:fill="0F5A54"/>
          </w:tcPr>
          <w:p>
            <w:pPr>
              <w:spacing w:before="20" w:after="20"/>
            </w:pPr>
            <w:r>
              <w:rPr>
                <w:rFonts w:ascii="Calibri" w:hAnsi="Calibri"/>
                <w:b/>
                <w:i w:val="0"/>
                <w:color w:val="FFFFFF"/>
                <w:sz w:val="18"/>
              </w:rPr>
              <w:t>Qué hace</w:t>
            </w:r>
          </w:p>
        </w:tc>
        <w:tc>
          <w:tcPr>
            <w:tcW w:type="dxa" w:w="2000"/>
            <w:shd w:val="clear" w:color="auto" w:fill="0F5A54"/>
          </w:tcPr>
          <w:p>
            <w:pPr>
              <w:spacing w:before="20" w:after="20"/>
            </w:pPr>
            <w:r>
              <w:rPr>
                <w:rFonts w:ascii="Calibri" w:hAnsi="Calibri"/>
                <w:b/>
                <w:i w:val="0"/>
                <w:color w:val="FFFFFF"/>
                <w:sz w:val="18"/>
              </w:rPr>
              <w:t>Datos necesarios</w:t>
            </w:r>
          </w:p>
        </w:tc>
        <w:tc>
          <w:tcPr>
            <w:tcW w:type="dxa" w:w="2160"/>
            <w:shd w:val="clear" w:color="auto" w:fill="0F5A54"/>
          </w:tcPr>
          <w:p>
            <w:pPr>
              <w:spacing w:before="20" w:after="20"/>
            </w:pPr>
            <w:r>
              <w:rPr>
                <w:rFonts w:ascii="Calibri" w:hAnsi="Calibri"/>
                <w:b/>
                <w:i w:val="0"/>
                <w:color w:val="FFFFFF"/>
                <w:sz w:val="18"/>
              </w:rPr>
              <w:t>Resultado</w:t>
            </w:r>
          </w:p>
        </w:tc>
        <w:tc>
          <w:tcPr>
            <w:tcW w:type="dxa" w:w="1200"/>
            <w:shd w:val="clear" w:color="auto" w:fill="0F5A54"/>
          </w:tcPr>
          <w:p>
            <w:pPr>
              <w:spacing w:before="20" w:after="20"/>
            </w:pPr>
            <w:r>
              <w:rPr>
                <w:rFonts w:ascii="Calibri" w:hAnsi="Calibri"/>
                <w:b/>
                <w:i w:val="0"/>
                <w:color w:val="FFFFFF"/>
                <w:sz w:val="18"/>
              </w:rPr>
              <w:t>Nivel</w:t>
            </w:r>
          </w:p>
        </w:tc>
      </w:tr>
      <w:tr>
        <w:tc>
          <w:tcPr>
            <w:tcW w:type="dxa" w:w="1500"/>
          </w:tcPr>
          <w:p>
            <w:pPr>
              <w:spacing w:before="20" w:after="20"/>
            </w:pPr>
            <w:r>
              <w:rPr>
                <w:rFonts w:ascii="Calibri" w:hAnsi="Calibri"/>
                <w:b w:val="0"/>
                <w:i w:val="0"/>
                <w:color w:val="1A2B33"/>
                <w:sz w:val="18"/>
              </w:rPr>
              <w:t>Registro de ingesta</w:t>
            </w:r>
          </w:p>
        </w:tc>
        <w:tc>
          <w:tcPr>
            <w:tcW w:type="dxa" w:w="2500"/>
          </w:tcPr>
          <w:p>
            <w:pPr>
              <w:spacing w:before="20" w:after="20"/>
            </w:pPr>
            <w:r>
              <w:rPr>
                <w:rFonts w:ascii="Calibri" w:hAnsi="Calibri"/>
                <w:b w:val="0"/>
                <w:i w:val="0"/>
                <w:color w:val="1A2B33"/>
                <w:sz w:val="18"/>
              </w:rPr>
              <w:t>Captura el recordatorio</w:t>
            </w:r>
          </w:p>
        </w:tc>
        <w:tc>
          <w:tcPr>
            <w:tcW w:type="dxa" w:w="2000"/>
          </w:tcPr>
          <w:p>
            <w:pPr>
              <w:spacing w:before="20" w:after="20"/>
            </w:pPr>
            <w:r>
              <w:rPr>
                <w:rFonts w:ascii="Calibri" w:hAnsi="Calibri"/>
                <w:b w:val="0"/>
                <w:i w:val="0"/>
                <w:color w:val="1A2B33"/>
                <w:sz w:val="18"/>
              </w:rPr>
              <w:t>Alimentos y cantidades</w:t>
            </w:r>
          </w:p>
        </w:tc>
        <w:tc>
          <w:tcPr>
            <w:tcW w:type="dxa" w:w="2160"/>
          </w:tcPr>
          <w:p>
            <w:pPr>
              <w:spacing w:before="20" w:after="20"/>
            </w:pPr>
            <w:r>
              <w:rPr>
                <w:rFonts w:ascii="Calibri" w:hAnsi="Calibri"/>
                <w:b w:val="0"/>
                <w:i w:val="0"/>
                <w:color w:val="1A2B33"/>
                <w:sz w:val="18"/>
              </w:rPr>
              <w:t>Ingesta registrada</w:t>
            </w:r>
          </w:p>
        </w:tc>
        <w:tc>
          <w:tcPr>
            <w:tcW w:type="dxa" w:w="1200"/>
          </w:tcPr>
          <w:p>
            <w:pPr>
              <w:spacing w:before="20" w:after="20"/>
            </w:pPr>
            <w:r>
              <w:rPr>
                <w:rFonts w:ascii="Calibri" w:hAnsi="Calibri"/>
                <w:b w:val="0"/>
                <w:i w:val="0"/>
                <w:color w:val="1A2B33"/>
                <w:sz w:val="18"/>
              </w:rPr>
              <w:t>Básico</w:t>
            </w:r>
          </w:p>
        </w:tc>
      </w:tr>
      <w:tr>
        <w:tc>
          <w:tcPr>
            <w:tcW w:type="dxa" w:w="1500"/>
            <w:shd w:val="clear" w:color="auto" w:fill="F6F8F8"/>
          </w:tcPr>
          <w:p>
            <w:pPr>
              <w:spacing w:before="20" w:after="20"/>
            </w:pPr>
            <w:r>
              <w:rPr>
                <w:rFonts w:ascii="Calibri" w:hAnsi="Calibri"/>
                <w:b w:val="0"/>
                <w:i w:val="0"/>
                <w:color w:val="1A2B33"/>
                <w:sz w:val="18"/>
              </w:rPr>
              <w:t>Traducción a equivalentes</w:t>
            </w:r>
          </w:p>
        </w:tc>
        <w:tc>
          <w:tcPr>
            <w:tcW w:type="dxa" w:w="2500"/>
            <w:shd w:val="clear" w:color="auto" w:fill="F6F8F8"/>
          </w:tcPr>
          <w:p>
            <w:pPr>
              <w:spacing w:before="20" w:after="20"/>
            </w:pPr>
            <w:r>
              <w:rPr>
                <w:rFonts w:ascii="Calibri" w:hAnsi="Calibri"/>
                <w:b w:val="0"/>
                <w:i w:val="0"/>
                <w:color w:val="1A2B33"/>
                <w:sz w:val="18"/>
              </w:rPr>
              <w:t>Convierte alimentos en equivalentes</w:t>
            </w:r>
          </w:p>
        </w:tc>
        <w:tc>
          <w:tcPr>
            <w:tcW w:type="dxa" w:w="2000"/>
            <w:shd w:val="clear" w:color="auto" w:fill="F6F8F8"/>
          </w:tcPr>
          <w:p>
            <w:pPr>
              <w:spacing w:before="20" w:after="20"/>
            </w:pPr>
            <w:r>
              <w:rPr>
                <w:rFonts w:ascii="Calibri" w:hAnsi="Calibri"/>
                <w:b w:val="0"/>
                <w:i w:val="0"/>
                <w:color w:val="1A2B33"/>
                <w:sz w:val="18"/>
              </w:rPr>
              <w:t>Ingesta</w:t>
            </w:r>
          </w:p>
        </w:tc>
        <w:tc>
          <w:tcPr>
            <w:tcW w:type="dxa" w:w="2160"/>
            <w:shd w:val="clear" w:color="auto" w:fill="F6F8F8"/>
          </w:tcPr>
          <w:p>
            <w:pPr>
              <w:spacing w:before="20" w:after="20"/>
            </w:pPr>
            <w:r>
              <w:rPr>
                <w:rFonts w:ascii="Calibri" w:hAnsi="Calibri"/>
                <w:b w:val="0"/>
                <w:i w:val="0"/>
                <w:color w:val="1A2B33"/>
                <w:sz w:val="18"/>
              </w:rPr>
              <w:t>Consumo en equivalentes</w:t>
            </w:r>
          </w:p>
        </w:tc>
        <w:tc>
          <w:tcPr>
            <w:tcW w:type="dxa" w:w="1200"/>
            <w:shd w:val="clear" w:color="auto" w:fill="F6F8F8"/>
          </w:tcPr>
          <w:p>
            <w:pPr>
              <w:spacing w:before="20" w:after="20"/>
            </w:pPr>
            <w:r>
              <w:rPr>
                <w:rFonts w:ascii="Calibri" w:hAnsi="Calibri"/>
                <w:b w:val="0"/>
                <w:i w:val="0"/>
                <w:color w:val="1A2B33"/>
                <w:sz w:val="18"/>
              </w:rPr>
              <w:t>Intermedio</w:t>
            </w:r>
          </w:p>
        </w:tc>
      </w:tr>
      <w:tr>
        <w:tc>
          <w:tcPr>
            <w:tcW w:type="dxa" w:w="1500"/>
          </w:tcPr>
          <w:p>
            <w:pPr>
              <w:spacing w:before="20" w:after="20"/>
            </w:pPr>
            <w:r>
              <w:rPr>
                <w:rFonts w:ascii="Calibri" w:hAnsi="Calibri"/>
                <w:b w:val="0"/>
                <w:i w:val="0"/>
                <w:color w:val="1A2B33"/>
                <w:sz w:val="18"/>
              </w:rPr>
              <w:t>Auditoría de traducción</w:t>
            </w:r>
          </w:p>
        </w:tc>
        <w:tc>
          <w:tcPr>
            <w:tcW w:type="dxa" w:w="2500"/>
          </w:tcPr>
          <w:p>
            <w:pPr>
              <w:spacing w:before="20" w:after="20"/>
            </w:pPr>
            <w:r>
              <w:rPr>
                <w:rFonts w:ascii="Calibri" w:hAnsi="Calibri"/>
                <w:b w:val="0"/>
                <w:i w:val="0"/>
                <w:color w:val="1A2B33"/>
                <w:sz w:val="18"/>
              </w:rPr>
              <w:t>Verifica la conversión</w:t>
            </w:r>
          </w:p>
        </w:tc>
        <w:tc>
          <w:tcPr>
            <w:tcW w:type="dxa" w:w="2000"/>
          </w:tcPr>
          <w:p>
            <w:pPr>
              <w:spacing w:before="20" w:after="20"/>
            </w:pPr>
            <w:r>
              <w:rPr>
                <w:rFonts w:ascii="Calibri" w:hAnsi="Calibri"/>
                <w:b w:val="0"/>
                <w:i w:val="0"/>
                <w:color w:val="1A2B33"/>
                <w:sz w:val="18"/>
              </w:rPr>
              <w:t>Consumo vs prescripción</w:t>
            </w:r>
          </w:p>
        </w:tc>
        <w:tc>
          <w:tcPr>
            <w:tcW w:type="dxa" w:w="2160"/>
          </w:tcPr>
          <w:p>
            <w:pPr>
              <w:spacing w:before="20" w:after="20"/>
            </w:pPr>
            <w:r>
              <w:rPr>
                <w:rFonts w:ascii="Calibri" w:hAnsi="Calibri"/>
                <w:b w:val="0"/>
                <w:i w:val="0"/>
                <w:color w:val="1A2B33"/>
                <w:sz w:val="18"/>
              </w:rPr>
              <w:t>Auditoría de equivalentes</w:t>
            </w:r>
          </w:p>
        </w:tc>
        <w:tc>
          <w:tcPr>
            <w:tcW w:type="dxa" w:w="1200"/>
          </w:tcPr>
          <w:p>
            <w:pPr>
              <w:spacing w:before="20" w:after="20"/>
            </w:pPr>
            <w:r>
              <w:rPr>
                <w:rFonts w:ascii="Calibri" w:hAnsi="Calibri"/>
                <w:b w:val="0"/>
                <w:i w:val="0"/>
                <w:color w:val="1A2B33"/>
                <w:sz w:val="18"/>
              </w:rPr>
              <w:t>Avanzado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06   </w:t>
            </w:r>
            <w:r>
              <w:rPr>
                <w:rFonts w:ascii="Calibri" w:hAnsi="Calibri"/>
                <w:b/>
                <w:i w:val="0"/>
                <w:color w:val="FFFFFF"/>
                <w:sz w:val="25"/>
              </w:rPr>
              <w:t>VARIABLES DE ENTRADA</w:t>
            </w:r>
          </w:p>
        </w:tc>
      </w:tr>
    </w:tbl>
    <w:p>
      <w:pPr>
        <w:spacing w:after="40"/>
      </w:pPr>
    </w:p>
    <w:p>
      <w:pPr>
        <w:spacing w:before="60" w:after="20" w:line="276" w:lineRule="auto"/>
      </w:pPr>
      <w:r>
        <w:rPr>
          <w:rFonts w:ascii="Calibri" w:hAnsi="Calibri"/>
          <w:b/>
          <w:i w:val="0"/>
          <w:color w:val="0A3E3A"/>
          <w:sz w:val="20"/>
        </w:rPr>
        <w:t>Alimentación</w:t>
      </w:r>
    </w:p>
    <w:p>
      <w:pPr>
        <w:spacing w:before="40" w:after="60" w:line="276" w:lineRule="auto"/>
      </w:pPr>
      <w:r>
        <w:rPr>
          <w:rFonts w:ascii="Calibri" w:hAnsi="Calibri"/>
          <w:b w:val="0"/>
          <w:i w:val="0"/>
          <w:color w:val="1A2B33"/>
          <w:sz w:val="19"/>
        </w:rPr>
        <w:t>Ingesta de 24 h, Prescripción en equivalentes</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07   </w:t>
            </w:r>
            <w:r>
              <w:rPr>
                <w:rFonts w:ascii="Calibri" w:hAnsi="Calibri"/>
                <w:b/>
                <w:i w:val="0"/>
                <w:color w:val="FFFFFF"/>
                <w:sz w:val="25"/>
              </w:rPr>
              <w:t>RESULTADOS</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000"/>
        <w:gridCol w:w="1700"/>
        <w:gridCol w:w="1560"/>
        <w:gridCol w:w="3100"/>
      </w:tblGrid>
      <w:tr>
        <w:tc>
          <w:tcPr>
            <w:tcW w:type="dxa" w:w="3000"/>
            <w:shd w:val="clear" w:color="auto" w:fill="0F5A54"/>
          </w:tcPr>
          <w:p>
            <w:pPr>
              <w:spacing w:before="20" w:after="20"/>
            </w:pPr>
            <w:r>
              <w:rPr>
                <w:rFonts w:ascii="Calibri" w:hAnsi="Calibri"/>
                <w:b/>
                <w:i w:val="0"/>
                <w:color w:val="FFFFFF"/>
                <w:sz w:val="18"/>
              </w:rPr>
              <w:t>Resultado</w:t>
            </w:r>
          </w:p>
        </w:tc>
        <w:tc>
          <w:tcPr>
            <w:tcW w:type="dxa" w:w="1700"/>
            <w:shd w:val="clear" w:color="auto" w:fill="0F5A54"/>
          </w:tcPr>
          <w:p>
            <w:pPr>
              <w:spacing w:before="20" w:after="20"/>
            </w:pPr>
            <w:r>
              <w:rPr>
                <w:rFonts w:ascii="Calibri" w:hAnsi="Calibri"/>
                <w:b/>
                <w:i w:val="0"/>
                <w:color w:val="FFFFFF"/>
                <w:sz w:val="18"/>
              </w:rPr>
              <w:t>Tipo</w:t>
            </w:r>
          </w:p>
        </w:tc>
        <w:tc>
          <w:tcPr>
            <w:tcW w:type="dxa" w:w="1560"/>
            <w:shd w:val="clear" w:color="auto" w:fill="0F5A54"/>
          </w:tcPr>
          <w:p>
            <w:pPr>
              <w:spacing w:before="20" w:after="20"/>
            </w:pPr>
            <w:r>
              <w:rPr>
                <w:rFonts w:ascii="Calibri" w:hAnsi="Calibri"/>
                <w:b/>
                <w:i w:val="0"/>
                <w:color w:val="FFFFFF"/>
                <w:sz w:val="18"/>
              </w:rPr>
              <w:t>Unidad</w:t>
            </w:r>
          </w:p>
        </w:tc>
        <w:tc>
          <w:tcPr>
            <w:tcW w:type="dxa" w:w="3100"/>
            <w:shd w:val="clear" w:color="auto" w:fill="0F5A54"/>
          </w:tcPr>
          <w:p>
            <w:pPr>
              <w:spacing w:before="20" w:after="20"/>
            </w:pPr>
            <w:r>
              <w:rPr>
                <w:rFonts w:ascii="Calibri" w:hAnsi="Calibri"/>
                <w:b/>
                <w:i w:val="0"/>
                <w:color w:val="FFFFFF"/>
                <w:sz w:val="18"/>
              </w:rPr>
              <w:t>Dependencia de entradas</w:t>
            </w:r>
          </w:p>
        </w:tc>
      </w:tr>
      <w:tr>
        <w:tc>
          <w:tcPr>
            <w:tcW w:type="dxa" w:w="3000"/>
          </w:tcPr>
          <w:p>
            <w:pPr>
              <w:spacing w:before="20" w:after="20"/>
            </w:pPr>
            <w:r>
              <w:rPr>
                <w:rFonts w:ascii="Calibri" w:hAnsi="Calibri"/>
                <w:b w:val="0"/>
                <w:i w:val="0"/>
                <w:color w:val="1A2B33"/>
                <w:sz w:val="18"/>
              </w:rPr>
              <w:t>Adecuación de nutrientes</w:t>
            </w:r>
          </w:p>
        </w:tc>
        <w:tc>
          <w:tcPr>
            <w:tcW w:type="dxa" w:w="1700"/>
          </w:tcPr>
          <w:p>
            <w:pPr>
              <w:spacing w:before="20" w:after="20"/>
            </w:pPr>
            <w:r>
              <w:rPr>
                <w:rFonts w:ascii="Calibri" w:hAnsi="Calibri"/>
                <w:b w:val="0"/>
                <w:i w:val="0"/>
                <w:color w:val="1A2B33"/>
                <w:sz w:val="18"/>
              </w:rPr>
              <w:t>INDICADOR</w:t>
            </w:r>
          </w:p>
        </w:tc>
        <w:tc>
          <w:tcPr>
            <w:tcW w:type="dxa" w:w="1560"/>
          </w:tcPr>
          <w:p>
            <w:pPr>
              <w:spacing w:before="20" w:after="20"/>
            </w:pPr>
            <w:r>
              <w:rPr>
                <w:rFonts w:ascii="Calibri" w:hAnsi="Calibri"/>
                <w:b w:val="0"/>
                <w:i w:val="0"/>
                <w:color w:val="1A2B33"/>
                <w:sz w:val="18"/>
              </w:rPr>
              <w:t>%</w:t>
            </w:r>
          </w:p>
        </w:tc>
        <w:tc>
          <w:tcPr>
            <w:tcW w:type="dxa" w:w="3100"/>
          </w:tcPr>
          <w:p>
            <w:pPr>
              <w:spacing w:before="20" w:after="20"/>
            </w:pPr>
            <w:r>
              <w:rPr>
                <w:rFonts w:ascii="Calibri" w:hAnsi="Calibri"/>
                <w:b w:val="0"/>
                <w:i w:val="0"/>
                <w:color w:val="1A2B33"/>
                <w:sz w:val="18"/>
              </w:rPr>
              <w:t>Depende de la ingesta</w:t>
            </w:r>
          </w:p>
        </w:tc>
      </w:tr>
      <w:tr>
        <w:tc>
          <w:tcPr>
            <w:tcW w:type="dxa" w:w="3000"/>
            <w:shd w:val="clear" w:color="auto" w:fill="F6F8F8"/>
          </w:tcPr>
          <w:p>
            <w:pPr>
              <w:spacing w:before="20" w:after="20"/>
            </w:pPr>
            <w:r>
              <w:rPr>
                <w:rFonts w:ascii="Calibri" w:hAnsi="Calibri"/>
                <w:b w:val="0"/>
                <w:i w:val="0"/>
                <w:color w:val="1A2B33"/>
                <w:sz w:val="18"/>
              </w:rPr>
              <w:t>Consumo vs prescripción (equivalentes)</w:t>
            </w:r>
          </w:p>
        </w:tc>
        <w:tc>
          <w:tcPr>
            <w:tcW w:type="dxa" w:w="1700"/>
            <w:shd w:val="clear" w:color="auto" w:fill="F6F8F8"/>
          </w:tcPr>
          <w:p>
            <w:pPr>
              <w:spacing w:before="20" w:after="20"/>
            </w:pPr>
            <w:r>
              <w:rPr>
                <w:rFonts w:ascii="Calibri" w:hAnsi="Calibri"/>
                <w:b w:val="0"/>
                <w:i w:val="0"/>
                <w:color w:val="1A2B33"/>
                <w:sz w:val="18"/>
              </w:rPr>
              <w:t>COMPARACIÓN</w:t>
            </w:r>
          </w:p>
        </w:tc>
        <w:tc>
          <w:tcPr>
            <w:tcW w:type="dxa" w:w="1560"/>
            <w:shd w:val="clear" w:color="auto" w:fill="F6F8F8"/>
          </w:tcPr>
          <w:p>
            <w:pPr>
              <w:spacing w:before="20" w:after="20"/>
            </w:pPr>
            <w:r>
              <w:rPr>
                <w:rFonts w:ascii="Calibri" w:hAnsi="Calibri"/>
                <w:b w:val="0"/>
                <w:i w:val="0"/>
                <w:color w:val="1A2B33"/>
                <w:sz w:val="18"/>
              </w:rPr>
              <w:t>equivalentes</w:t>
            </w:r>
          </w:p>
        </w:tc>
        <w:tc>
          <w:tcPr>
            <w:tcW w:type="dxa" w:w="3100"/>
            <w:shd w:val="clear" w:color="auto" w:fill="F6F8F8"/>
          </w:tcPr>
          <w:p>
            <w:pPr>
              <w:spacing w:before="20" w:after="20"/>
            </w:pPr>
            <w:r>
              <w:rPr>
                <w:rFonts w:ascii="Calibri" w:hAnsi="Calibri"/>
                <w:b w:val="0"/>
                <w:i w:val="0"/>
                <w:color w:val="1A2B33"/>
                <w:sz w:val="18"/>
              </w:rPr>
              <w:t>Depende de ingesta y prescripción</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08   </w:t>
            </w:r>
            <w:r>
              <w:rPr>
                <w:rFonts w:ascii="Calibri" w:hAnsi="Calibri"/>
                <w:b/>
                <w:i w:val="0"/>
                <w:color w:val="FFFFFF"/>
                <w:sz w:val="25"/>
              </w:rPr>
              <w:t>FLUJO REAL DE USO · MAPA DE HOJAS</w:t>
            </w:r>
          </w:p>
        </w:tc>
      </w:tr>
    </w:tbl>
    <w:p>
      <w:pPr>
        <w:spacing w:after="40"/>
      </w:pPr>
    </w:p>
    <w:p>
      <w:pPr>
        <w:spacing w:before="40" w:after="60" w:line="276" w:lineRule="auto"/>
      </w:pPr>
      <w:r>
        <w:rPr>
          <w:rFonts w:ascii="Calibri" w:hAnsi="Calibri"/>
          <w:b/>
          <w:i w:val="0"/>
          <w:color w:val="0A3E3A"/>
          <w:sz w:val="20"/>
        </w:rPr>
        <w:t>Flujo de uso (según la navegación del libro)</w:t>
      </w: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CellMar>
          <w:top w:w="40" w:type="dxa"/>
          <w:bottom w:w="40" w:type="dxa"/>
          <w:left w:w="40" w:type="dxa"/>
          <w:right w:w="40" w:type="dxa"/>
        </w:tblCellMar>
      </w:tblPr>
      <w:tblGrid>
        <w:gridCol w:w="672"/>
        <w:gridCol w:w="672"/>
        <w:gridCol w:w="672"/>
        <w:gridCol w:w="672"/>
        <w:gridCol w:w="672"/>
        <w:gridCol w:w="672"/>
        <w:gridCol w:w="672"/>
        <w:gridCol w:w="672"/>
        <w:gridCol w:w="672"/>
        <w:gridCol w:w="672"/>
        <w:gridCol w:w="672"/>
        <w:gridCol w:w="672"/>
        <w:gridCol w:w="672"/>
        <w:gridCol w:w="672"/>
        <w:gridCol w:w="672"/>
      </w:tblGrid>
      <w:tr>
        <w:tc>
          <w:tcPr>
            <w:tcW w:type="dxa" w:w="672"/>
            <w:shd w:val="clear" w:color="auto" w:fill="EDF2F1"/>
          </w:tcPr>
          <w:p>
            <w:pPr>
              <w:spacing w:before="20" w:after="20"/>
              <w:jc w:val="center"/>
            </w:pPr>
            <w:r>
              <w:rPr>
                <w:rFonts w:ascii="Calibri" w:hAnsi="Calibri"/>
                <w:b/>
                <w:i w:val="0"/>
                <w:color w:val="0A3E3A"/>
                <w:sz w:val="15"/>
              </w:rPr>
              <w:t>INICIO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DATOS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RECORDATORIO</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ALIMENTOS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CALCULOS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EQUIVALENTES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RESULTADOS</w:t>
            </w:r>
          </w:p>
        </w:tc>
        <w:tc>
          <w:tcPr>
            <w:tcW w:type="dxa" w:w="672"/>
          </w:tcPr>
          <w:p>
            <w:pPr>
              <w:spacing w:before="20" w:after="20"/>
              <w:jc w:val="center"/>
            </w:pPr>
            <w:r>
              <w:rPr>
                <w:rFonts w:ascii="Calibri" w:hAnsi="Calibri"/>
                <w:b/>
                <w:i w:val="0"/>
                <w:color w:val="C08A2B"/>
                <w:sz w:val="18"/>
              </w:rPr>
              <w:t>→</w:t>
            </w:r>
          </w:p>
        </w:tc>
        <w:tc>
          <w:tcPr>
            <w:tcW w:type="dxa" w:w="672"/>
            <w:shd w:val="clear" w:color="auto" w:fill="EDF2F1"/>
          </w:tcPr>
          <w:p>
            <w:pPr>
              <w:spacing w:before="20" w:after="20"/>
              <w:jc w:val="center"/>
            </w:pPr>
            <w:r>
              <w:rPr>
                <w:rFonts w:ascii="Calibri" w:hAnsi="Calibri"/>
                <w:b/>
                <w:i w:val="0"/>
                <w:color w:val="0A3E3A"/>
                <w:sz w:val="15"/>
              </w:rPr>
              <w:t>FUENTES</w:t>
            </w:r>
          </w:p>
        </w:tc>
      </w:tr>
    </w:tbl>
    <w:p>
      <w:pPr>
        <w:spacing w:before="40" w:after="80" w:line="276" w:lineRule="auto"/>
      </w:pPr>
    </w:p>
    <w:p>
      <w:pPr>
        <w:spacing w:before="80" w:after="60" w:line="276" w:lineRule="auto"/>
      </w:pPr>
      <w:r>
        <w:rPr>
          <w:rFonts w:ascii="Calibri" w:hAnsi="Calibri"/>
          <w:b/>
          <w:i w:val="0"/>
          <w:color w:val="0A3E3A"/>
          <w:sz w:val="20"/>
        </w:rPr>
        <w:t>Mapa de hojas para el comprador</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3600"/>
        <w:gridCol w:w="5760"/>
      </w:tblGrid>
      <w:tr>
        <w:tc>
          <w:tcPr>
            <w:tcW w:type="dxa" w:w="3600"/>
            <w:shd w:val="clear" w:color="auto" w:fill="0F5A54"/>
          </w:tcPr>
          <w:p>
            <w:pPr>
              <w:spacing w:before="20" w:after="20"/>
            </w:pPr>
            <w:r>
              <w:rPr>
                <w:rFonts w:ascii="Calibri" w:hAnsi="Calibri"/>
                <w:b/>
                <w:i w:val="0"/>
                <w:color w:val="FFFFFF"/>
                <w:sz w:val="18"/>
              </w:rPr>
              <w:t>Hoja</w:t>
            </w:r>
          </w:p>
        </w:tc>
        <w:tc>
          <w:tcPr>
            <w:tcW w:type="dxa" w:w="5760"/>
            <w:shd w:val="clear" w:color="auto" w:fill="0F5A54"/>
          </w:tcPr>
          <w:p>
            <w:pPr>
              <w:spacing w:before="20" w:after="20"/>
            </w:pPr>
            <w:r>
              <w:rPr>
                <w:rFonts w:ascii="Calibri" w:hAnsi="Calibri"/>
                <w:b/>
                <w:i w:val="0"/>
                <w:color w:val="FFFFFF"/>
                <w:sz w:val="18"/>
              </w:rPr>
              <w:t>Rol</w:t>
            </w:r>
          </w:p>
        </w:tc>
      </w:tr>
      <w:tr>
        <w:tc>
          <w:tcPr>
            <w:tcW w:type="dxa" w:w="3600"/>
          </w:tcPr>
          <w:p>
            <w:pPr>
              <w:spacing w:before="20" w:after="20"/>
            </w:pPr>
            <w:r>
              <w:rPr>
                <w:rFonts w:ascii="Calibri" w:hAnsi="Calibri"/>
                <w:b w:val="0"/>
                <w:i w:val="0"/>
                <w:color w:val="1A2B33"/>
                <w:sz w:val="18"/>
              </w:rPr>
              <w:t>INICIO</w:t>
            </w:r>
          </w:p>
        </w:tc>
        <w:tc>
          <w:tcPr>
            <w:tcW w:type="dxa" w:w="5760"/>
          </w:tcPr>
          <w:p>
            <w:pPr>
              <w:spacing w:before="20" w:after="20"/>
            </w:pPr>
            <w:r>
              <w:rPr>
                <w:rFonts w:ascii="Calibri" w:hAnsi="Calibri"/>
                <w:b w:val="0"/>
                <w:i w:val="0"/>
                <w:color w:val="1A2B33"/>
                <w:sz w:val="18"/>
              </w:rPr>
              <w:t>INTERFAZ_USUARIO</w:t>
            </w:r>
          </w:p>
        </w:tc>
      </w:tr>
      <w:tr>
        <w:tc>
          <w:tcPr>
            <w:tcW w:type="dxa" w:w="3600"/>
            <w:shd w:val="clear" w:color="auto" w:fill="F6F8F8"/>
          </w:tcPr>
          <w:p>
            <w:pPr>
              <w:spacing w:before="20" w:after="20"/>
            </w:pPr>
            <w:r>
              <w:rPr>
                <w:rFonts w:ascii="Calibri" w:hAnsi="Calibri"/>
                <w:b w:val="0"/>
                <w:i w:val="0"/>
                <w:color w:val="1A2B33"/>
                <w:sz w:val="18"/>
              </w:rPr>
              <w:t>RECORDATORIO</w:t>
            </w:r>
          </w:p>
        </w:tc>
        <w:tc>
          <w:tcPr>
            <w:tcW w:type="dxa" w:w="5760"/>
            <w:shd w:val="clear" w:color="auto" w:fill="F6F8F8"/>
          </w:tcPr>
          <w:p>
            <w:pPr>
              <w:spacing w:before="20" w:after="20"/>
            </w:pPr>
            <w:r>
              <w:rPr>
                <w:rFonts w:ascii="Calibri" w:hAnsi="Calibri"/>
                <w:b w:val="0"/>
                <w:i w:val="0"/>
                <w:color w:val="1A2B33"/>
                <w:sz w:val="18"/>
              </w:rPr>
              <w:t>ENTRADA</w:t>
            </w:r>
          </w:p>
        </w:tc>
      </w:tr>
      <w:tr>
        <w:tc>
          <w:tcPr>
            <w:tcW w:type="dxa" w:w="3600"/>
          </w:tcPr>
          <w:p>
            <w:pPr>
              <w:spacing w:before="20" w:after="20"/>
            </w:pPr>
            <w:r>
              <w:rPr>
                <w:rFonts w:ascii="Calibri" w:hAnsi="Calibri"/>
                <w:b w:val="0"/>
                <w:i w:val="0"/>
                <w:color w:val="1A2B33"/>
                <w:sz w:val="18"/>
              </w:rPr>
              <w:t>EQUIVALENTES</w:t>
            </w:r>
          </w:p>
        </w:tc>
        <w:tc>
          <w:tcPr>
            <w:tcW w:type="dxa" w:w="5760"/>
          </w:tcPr>
          <w:p>
            <w:pPr>
              <w:spacing w:before="20" w:after="20"/>
            </w:pPr>
            <w:r>
              <w:rPr>
                <w:rFonts w:ascii="Calibri" w:hAnsi="Calibri"/>
                <w:b w:val="0"/>
                <w:i w:val="0"/>
                <w:color w:val="1A2B33"/>
                <w:sz w:val="18"/>
              </w:rPr>
              <w:t>RESULTADOS</w:t>
            </w:r>
          </w:p>
        </w:tc>
      </w:tr>
      <w:tr>
        <w:tc>
          <w:tcPr>
            <w:tcW w:type="dxa" w:w="3600"/>
            <w:shd w:val="clear" w:color="auto" w:fill="F6F8F8"/>
          </w:tcPr>
          <w:p>
            <w:pPr>
              <w:spacing w:before="20" w:after="20"/>
            </w:pPr>
            <w:r>
              <w:rPr>
                <w:rFonts w:ascii="Calibri" w:hAnsi="Calibri"/>
                <w:b w:val="0"/>
                <w:i w:val="0"/>
                <w:color w:val="1A2B33"/>
                <w:sz w:val="18"/>
              </w:rPr>
              <w:t>RESULTADOS</w:t>
            </w:r>
          </w:p>
        </w:tc>
        <w:tc>
          <w:tcPr>
            <w:tcW w:type="dxa" w:w="5760"/>
            <w:shd w:val="clear" w:color="auto" w:fill="F6F8F8"/>
          </w:tcPr>
          <w:p>
            <w:pPr>
              <w:spacing w:before="20" w:after="20"/>
            </w:pPr>
            <w:r>
              <w:rPr>
                <w:rFonts w:ascii="Calibri" w:hAnsi="Calibri"/>
                <w:b w:val="0"/>
                <w:i w:val="0"/>
                <w:color w:val="1A2B33"/>
                <w:sz w:val="18"/>
              </w:rPr>
              <w:t>RESULTADOS</w:t>
            </w:r>
          </w:p>
        </w:tc>
      </w:tr>
      <w:tr>
        <w:tc>
          <w:tcPr>
            <w:tcW w:type="dxa" w:w="3600"/>
          </w:tcPr>
          <w:p>
            <w:pPr>
              <w:spacing w:before="20" w:after="20"/>
            </w:pPr>
            <w:r>
              <w:rPr>
                <w:rFonts w:ascii="Calibri" w:hAnsi="Calibri"/>
                <w:b w:val="0"/>
                <w:i w:val="0"/>
                <w:color w:val="1A2B33"/>
                <w:sz w:val="18"/>
              </w:rPr>
              <w:t>FUENTES</w:t>
            </w:r>
          </w:p>
        </w:tc>
        <w:tc>
          <w:tcPr>
            <w:tcW w:type="dxa" w:w="5760"/>
          </w:tcPr>
          <w:p>
            <w:pPr>
              <w:spacing w:before="20" w:after="20"/>
            </w:pPr>
            <w:r>
              <w:rPr>
                <w:rFonts w:ascii="Calibri" w:hAnsi="Calibri"/>
                <w:b w:val="0"/>
                <w:i w:val="0"/>
                <w:color w:val="1A2B33"/>
                <w:sz w:val="18"/>
              </w:rPr>
              <w:t>FUENTES</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09   </w:t>
            </w:r>
            <w:r>
              <w:rPr>
                <w:rFonts w:ascii="Calibri" w:hAnsi="Calibri"/>
                <w:b/>
                <w:i w:val="0"/>
                <w:color w:val="FFFFFF"/>
                <w:sz w:val="25"/>
              </w:rPr>
              <w:t>ARQUITECTURA TÉCNICA</w:t>
            </w:r>
          </w:p>
        </w:tc>
      </w:tr>
    </w:tbl>
    <w:p>
      <w:pPr>
        <w:spacing w:after="40"/>
      </w:pPr>
    </w:p>
    <w:p>
      <w:pPr>
        <w:spacing w:before="40" w:after="80" w:line="276" w:lineRule="auto"/>
      </w:pPr>
      <w:r>
        <w:rPr>
          <w:rFonts w:ascii="Calibri" w:hAnsi="Calibri"/>
          <w:b w:val="0"/>
          <w:i w:val="0"/>
          <w:color w:val="1A2B33"/>
          <w:sz w:val="20"/>
        </w:rPr>
        <w:t>El libro contiene 11 hojas (11 visibles y 0 ocultas o auxiliares). Incorpora aproximadamente 348 fórmulas, 1 gráficos, 0 tablas estructuradas y 8 validaciones de datos.</w:t>
      </w:r>
    </w:p>
    <w:p>
      <w:pPr>
        <w:spacing w:before="40" w:after="80" w:line="276" w:lineRule="auto"/>
      </w:pPr>
      <w:r>
        <w:rPr>
          <w:rFonts w:ascii="Calibri" w:hAnsi="Calibri"/>
          <w:b w:val="0"/>
          <w:i w:val="0"/>
          <w:color w:val="45565E"/>
          <w:sz w:val="19"/>
        </w:rPr>
        <w:t>El producto puede incluir hojas internas de cálculo, configuración, validación o control de calidad (por ejemplo CALCULOS, CONFIG, PRUEBAS o CHANGELOG). Estas hojas sostienen el motor y la trazabilidad, y no requieren manipulación por parte del usuario final.</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10   </w:t>
            </w:r>
            <w:r>
              <w:rPr>
                <w:rFonts w:ascii="Calibri" w:hAnsi="Calibri"/>
                <w:b/>
                <w:i w:val="0"/>
                <w:color w:val="FFFFFF"/>
                <w:sz w:val="25"/>
              </w:rPr>
              <w:t>EJEMPLO DE USO (CASO FICTICIO)</w:t>
            </w:r>
          </w:p>
        </w:tc>
      </w:tr>
    </w:tbl>
    <w:p>
      <w:pPr>
        <w:spacing w:after="40"/>
      </w:pPr>
    </w:p>
    <w:p>
      <w:pPr>
        <w:spacing w:before="40" w:after="80" w:line="276" w:lineRule="auto"/>
      </w:pPr>
      <w:r>
        <w:rPr>
          <w:rFonts w:ascii="Calibri" w:hAnsi="Calibri"/>
          <w:b w:val="0"/>
          <w:i/>
          <w:color w:val="45565E"/>
          <w:sz w:val="18"/>
        </w:rPr>
        <w:t>Caso ilustrativo y ficticio. No corresponde a una persona real.</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400"/>
        <w:gridCol w:w="6960"/>
      </w:tblGrid>
      <w:tr>
        <w:tc>
          <w:tcPr>
            <w:tcW w:type="dxa" w:w="2400"/>
            <w:shd w:val="clear" w:color="auto" w:fill="EDF2F1"/>
          </w:tcPr>
          <w:p>
            <w:pPr>
              <w:spacing w:before="20" w:after="20"/>
            </w:pPr>
            <w:r>
              <w:rPr>
                <w:rFonts w:ascii="Calibri" w:hAnsi="Calibri"/>
                <w:b/>
                <w:i w:val="0"/>
                <w:color w:val="0A3E3A"/>
                <w:sz w:val="19"/>
              </w:rPr>
              <w:t>Entrada</w:t>
            </w:r>
          </w:p>
        </w:tc>
        <w:tc>
          <w:tcPr>
            <w:tcW w:type="dxa" w:w="6960"/>
          </w:tcPr>
          <w:p>
            <w:pPr>
              <w:spacing w:before="20" w:after="20"/>
            </w:pPr>
            <w:r>
              <w:rPr>
                <w:rFonts w:ascii="Calibri" w:hAnsi="Calibri"/>
                <w:b w:val="0"/>
                <w:i w:val="0"/>
                <w:color w:val="1A2B33"/>
                <w:sz w:val="19"/>
              </w:rPr>
              <w:t>Ingesta ficticia de un día y una prescripción en equivalentes.</w:t>
            </w:r>
          </w:p>
        </w:tc>
      </w:tr>
      <w:tr>
        <w:tc>
          <w:tcPr>
            <w:tcW w:type="dxa" w:w="2400"/>
            <w:shd w:val="clear" w:color="auto" w:fill="EDF2F1"/>
          </w:tcPr>
          <w:p>
            <w:pPr>
              <w:spacing w:before="20" w:after="20"/>
            </w:pPr>
            <w:r>
              <w:rPr>
                <w:rFonts w:ascii="Calibri" w:hAnsi="Calibri"/>
                <w:b/>
                <w:i w:val="0"/>
                <w:color w:val="0A3E3A"/>
                <w:sz w:val="19"/>
              </w:rPr>
              <w:t>Proceso</w:t>
            </w:r>
          </w:p>
        </w:tc>
        <w:tc>
          <w:tcPr>
            <w:tcW w:type="dxa" w:w="6960"/>
          </w:tcPr>
          <w:p>
            <w:pPr>
              <w:spacing w:before="20" w:after="20"/>
            </w:pPr>
            <w:r>
              <w:rPr>
                <w:rFonts w:ascii="Calibri" w:hAnsi="Calibri"/>
                <w:b w:val="0"/>
                <w:i w:val="0"/>
                <w:color w:val="1A2B33"/>
                <w:sz w:val="19"/>
              </w:rPr>
              <w:t>Se registra la ingesta y se define la prescripción.</w:t>
            </w:r>
          </w:p>
        </w:tc>
      </w:tr>
      <w:tr>
        <w:tc>
          <w:tcPr>
            <w:tcW w:type="dxa" w:w="2400"/>
            <w:shd w:val="clear" w:color="auto" w:fill="EDF2F1"/>
          </w:tcPr>
          <w:p>
            <w:pPr>
              <w:spacing w:before="20" w:after="20"/>
            </w:pPr>
            <w:r>
              <w:rPr>
                <w:rFonts w:ascii="Calibri" w:hAnsi="Calibri"/>
                <w:b/>
                <w:i w:val="0"/>
                <w:color w:val="0A3E3A"/>
                <w:sz w:val="19"/>
              </w:rPr>
              <w:t>Resultado</w:t>
            </w:r>
          </w:p>
        </w:tc>
        <w:tc>
          <w:tcPr>
            <w:tcW w:type="dxa" w:w="6960"/>
          </w:tcPr>
          <w:p>
            <w:pPr>
              <w:spacing w:before="20" w:after="20"/>
            </w:pPr>
            <w:r>
              <w:rPr>
                <w:rFonts w:ascii="Calibri" w:hAnsi="Calibri"/>
                <w:b w:val="0"/>
                <w:i w:val="0"/>
                <w:color w:val="1A2B33"/>
                <w:sz w:val="19"/>
              </w:rPr>
              <w:t>El libro traduce a equivalentes y compara consumo vs prescripción.</w:t>
            </w:r>
          </w:p>
        </w:tc>
      </w:tr>
      <w:tr>
        <w:tc>
          <w:tcPr>
            <w:tcW w:type="dxa" w:w="2400"/>
            <w:shd w:val="clear" w:color="auto" w:fill="EDF2F1"/>
          </w:tcPr>
          <w:p>
            <w:pPr>
              <w:spacing w:before="20" w:after="20"/>
            </w:pPr>
            <w:r>
              <w:rPr>
                <w:rFonts w:ascii="Calibri" w:hAnsi="Calibri"/>
                <w:b/>
                <w:i w:val="0"/>
                <w:color w:val="0A3E3A"/>
                <w:sz w:val="19"/>
              </w:rPr>
              <w:t>Interpretación educativa</w:t>
            </w:r>
          </w:p>
        </w:tc>
        <w:tc>
          <w:tcPr>
            <w:tcW w:type="dxa" w:w="6960"/>
          </w:tcPr>
          <w:p>
            <w:pPr>
              <w:spacing w:before="20" w:after="20"/>
            </w:pPr>
            <w:r>
              <w:rPr>
                <w:rFonts w:ascii="Calibri" w:hAnsi="Calibri"/>
                <w:b w:val="0"/>
                <w:i w:val="0"/>
                <w:color w:val="1A2B33"/>
                <w:sz w:val="19"/>
              </w:rPr>
              <w:t>La auditoría muestra dónde difieren, con lectura educativa.</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11   </w:t>
            </w:r>
            <w:r>
              <w:rPr>
                <w:rFonts w:ascii="Calibri" w:hAnsi="Calibri"/>
                <w:b/>
                <w:i w:val="0"/>
                <w:color w:val="FFFFFF"/>
                <w:sz w:val="25"/>
              </w:rPr>
              <w:t>CAPTURAS DEL PRODUCTO</w:t>
            </w:r>
          </w:p>
        </w:tc>
      </w:tr>
    </w:tbl>
    <w:p>
      <w:pPr>
        <w:spacing w:after="40"/>
      </w:pPr>
    </w:p>
    <w:p>
      <w:pPr>
        <w:spacing w:before="40" w:after="40" w:line="276" w:lineRule="auto"/>
      </w:pPr>
      <w:r>
        <w:rPr>
          <w:rFonts w:ascii="Calibri" w:hAnsi="Calibri"/>
          <w:b/>
          <w:i w:val="0"/>
          <w:color w:val="C08A2B"/>
          <w:sz w:val="20"/>
        </w:rPr>
        <w:t>CAPTURA_NO_GENERADA_POR_LIMITACIÓN_DEL_ENTORNO.</w:t>
      </w:r>
    </w:p>
    <w:p>
      <w:pPr>
        <w:spacing w:before="40" w:after="80" w:line="276" w:lineRule="auto"/>
      </w:pPr>
      <w:r>
        <w:rPr>
          <w:rFonts w:ascii="Calibri" w:hAnsi="Calibri"/>
          <w:b w:val="0"/>
          <w:i w:val="0"/>
          <w:color w:val="45565E"/>
          <w:sz w:val="19"/>
        </w:rPr>
        <w:t>El entorno de generación de este portafolio no renderiza de forma fiel el archivo XLSX original, por lo que no se incluyen capturas simuladas. Las hojas reales del libro pueden abrirse en Microsoft Excel según la compatibilidad indicada.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12   </w:t>
            </w:r>
            <w:r>
              <w:rPr>
                <w:rFonts w:ascii="Calibri" w:hAnsi="Calibri"/>
                <w:b/>
                <w:i w:val="0"/>
                <w:color w:val="FFFFFF"/>
                <w:sz w:val="25"/>
              </w:rPr>
              <w:t>METODOLOGÍA</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1500"/>
        <w:gridCol w:w="2600"/>
        <w:gridCol w:w="1500"/>
        <w:gridCol w:w="1760"/>
        <w:gridCol w:w="2000"/>
      </w:tblGrid>
      <w:tr>
        <w:tc>
          <w:tcPr>
            <w:tcW w:type="dxa" w:w="1500"/>
            <w:shd w:val="clear" w:color="auto" w:fill="0F5A54"/>
          </w:tcPr>
          <w:p>
            <w:pPr>
              <w:spacing w:before="20" w:after="20"/>
            </w:pPr>
            <w:r>
              <w:rPr>
                <w:rFonts w:ascii="Calibri" w:hAnsi="Calibri"/>
                <w:b/>
                <w:i w:val="0"/>
                <w:color w:val="FFFFFF"/>
                <w:sz w:val="18"/>
              </w:rPr>
              <w:t>Tipo</w:t>
            </w:r>
          </w:p>
        </w:tc>
        <w:tc>
          <w:tcPr>
            <w:tcW w:type="dxa" w:w="2600"/>
            <w:shd w:val="clear" w:color="auto" w:fill="0F5A54"/>
          </w:tcPr>
          <w:p>
            <w:pPr>
              <w:spacing w:before="20" w:after="20"/>
            </w:pPr>
            <w:r>
              <w:rPr>
                <w:rFonts w:ascii="Calibri" w:hAnsi="Calibri"/>
                <w:b/>
                <w:i w:val="0"/>
                <w:color w:val="FFFFFF"/>
                <w:sz w:val="18"/>
              </w:rPr>
              <w:t>Elemento</w:t>
            </w:r>
          </w:p>
        </w:tc>
        <w:tc>
          <w:tcPr>
            <w:tcW w:type="dxa" w:w="1500"/>
            <w:shd w:val="clear" w:color="auto" w:fill="0F5A54"/>
          </w:tcPr>
          <w:p>
            <w:pPr>
              <w:spacing w:before="20" w:after="20"/>
            </w:pPr>
            <w:r>
              <w:rPr>
                <w:rFonts w:ascii="Calibri" w:hAnsi="Calibri"/>
                <w:b/>
                <w:i w:val="0"/>
                <w:color w:val="FFFFFF"/>
                <w:sz w:val="18"/>
              </w:rPr>
              <w:t>Población</w:t>
            </w:r>
          </w:p>
        </w:tc>
        <w:tc>
          <w:tcPr>
            <w:tcW w:type="dxa" w:w="1760"/>
            <w:shd w:val="clear" w:color="auto" w:fill="0F5A54"/>
          </w:tcPr>
          <w:p>
            <w:pPr>
              <w:spacing w:before="20" w:after="20"/>
            </w:pPr>
            <w:r>
              <w:rPr>
                <w:rFonts w:ascii="Calibri" w:hAnsi="Calibri"/>
                <w:b/>
                <w:i w:val="0"/>
                <w:color w:val="FFFFFF"/>
                <w:sz w:val="18"/>
              </w:rPr>
              <w:t>Aplicación</w:t>
            </w:r>
          </w:p>
        </w:tc>
        <w:tc>
          <w:tcPr>
            <w:tcW w:type="dxa" w:w="2000"/>
            <w:shd w:val="clear" w:color="auto" w:fill="0F5A54"/>
          </w:tcPr>
          <w:p>
            <w:pPr>
              <w:spacing w:before="20" w:after="20"/>
            </w:pPr>
            <w:r>
              <w:rPr>
                <w:rFonts w:ascii="Calibri" w:hAnsi="Calibri"/>
                <w:b/>
                <w:i w:val="0"/>
                <w:color w:val="FFFFFF"/>
                <w:sz w:val="18"/>
              </w:rPr>
              <w:t>Limitación</w:t>
            </w:r>
          </w:p>
        </w:tc>
      </w:tr>
      <w:tr>
        <w:tc>
          <w:tcPr>
            <w:tcW w:type="dxa" w:w="1500"/>
          </w:tcPr>
          <w:p>
            <w:pPr>
              <w:spacing w:before="20" w:after="20"/>
            </w:pPr>
            <w:r>
              <w:rPr>
                <w:rFonts w:ascii="Calibri" w:hAnsi="Calibri"/>
                <w:b w:val="0"/>
                <w:i w:val="0"/>
                <w:color w:val="1A2B33"/>
                <w:sz w:val="18"/>
              </w:rPr>
              <w:t>CRITERIO</w:t>
            </w:r>
          </w:p>
        </w:tc>
        <w:tc>
          <w:tcPr>
            <w:tcW w:type="dxa" w:w="2600"/>
          </w:tcPr>
          <w:p>
            <w:pPr>
              <w:spacing w:before="20" w:after="20"/>
            </w:pPr>
            <w:r>
              <w:rPr>
                <w:rFonts w:ascii="Calibri" w:hAnsi="Calibri"/>
                <w:b w:val="0"/>
                <w:i w:val="0"/>
                <w:color w:val="1A2B33"/>
                <w:sz w:val="18"/>
              </w:rPr>
              <w:t>Recordatorio de 24 h + equivalentes</w:t>
            </w:r>
          </w:p>
        </w:tc>
        <w:tc>
          <w:tcPr>
            <w:tcW w:type="dxa" w:w="1500"/>
          </w:tcPr>
          <w:p>
            <w:pPr>
              <w:spacing w:before="20" w:after="20"/>
            </w:pPr>
            <w:r>
              <w:rPr>
                <w:rFonts w:ascii="Calibri" w:hAnsi="Calibri"/>
                <w:b w:val="0"/>
                <w:i w:val="0"/>
                <w:color w:val="1A2B33"/>
                <w:sz w:val="18"/>
              </w:rPr>
              <w:t>Educativa</w:t>
            </w:r>
          </w:p>
        </w:tc>
        <w:tc>
          <w:tcPr>
            <w:tcW w:type="dxa" w:w="1760"/>
          </w:tcPr>
          <w:p>
            <w:pPr>
              <w:spacing w:before="20" w:after="20"/>
            </w:pPr>
            <w:r>
              <w:rPr>
                <w:rFonts w:ascii="Calibri" w:hAnsi="Calibri"/>
                <w:b w:val="0"/>
                <w:i w:val="0"/>
                <w:color w:val="1A2B33"/>
                <w:sz w:val="18"/>
              </w:rPr>
              <w:t>Evaluación dietética</w:t>
            </w:r>
          </w:p>
        </w:tc>
        <w:tc>
          <w:tcPr>
            <w:tcW w:type="dxa" w:w="2000"/>
          </w:tcPr>
          <w:p>
            <w:pPr>
              <w:spacing w:before="20" w:after="20"/>
            </w:pPr>
            <w:r>
              <w:rPr>
                <w:rFonts w:ascii="Calibri" w:hAnsi="Calibri"/>
                <w:b w:val="0"/>
                <w:i w:val="0"/>
                <w:color w:val="1A2B33"/>
                <w:sz w:val="18"/>
              </w:rPr>
              <w:t>Depende del recuerdo</w:t>
            </w:r>
          </w:p>
        </w:tc>
      </w:tr>
      <w:tr>
        <w:tc>
          <w:tcPr>
            <w:tcW w:type="dxa" w:w="1500"/>
            <w:shd w:val="clear" w:color="auto" w:fill="F6F8F8"/>
          </w:tcPr>
          <w:p>
            <w:pPr>
              <w:spacing w:before="20" w:after="20"/>
            </w:pPr>
            <w:r>
              <w:rPr>
                <w:rFonts w:ascii="Calibri" w:hAnsi="Calibri"/>
                <w:b w:val="0"/>
                <w:i w:val="0"/>
                <w:color w:val="1A2B33"/>
                <w:sz w:val="18"/>
              </w:rPr>
              <w:t>REGLA DE IMPLEMENTACIÓN</w:t>
            </w:r>
          </w:p>
        </w:tc>
        <w:tc>
          <w:tcPr>
            <w:tcW w:type="dxa" w:w="2600"/>
            <w:shd w:val="clear" w:color="auto" w:fill="F6F8F8"/>
          </w:tcPr>
          <w:p>
            <w:pPr>
              <w:spacing w:before="20" w:after="20"/>
            </w:pPr>
            <w:r>
              <w:rPr>
                <w:rFonts w:ascii="Calibri" w:hAnsi="Calibri"/>
                <w:b w:val="0"/>
                <w:i w:val="0"/>
                <w:color w:val="1A2B33"/>
                <w:sz w:val="18"/>
              </w:rPr>
              <w:t>Auditoría de traducción a equivalentes</w:t>
            </w:r>
          </w:p>
        </w:tc>
        <w:tc>
          <w:tcPr>
            <w:tcW w:type="dxa" w:w="1500"/>
            <w:shd w:val="clear" w:color="auto" w:fill="F6F8F8"/>
          </w:tcPr>
          <w:p>
            <w:pPr>
              <w:spacing w:before="20" w:after="20"/>
            </w:pPr>
            <w:r>
              <w:rPr>
                <w:rFonts w:ascii="Calibri" w:hAnsi="Calibri"/>
                <w:b w:val="0"/>
                <w:i w:val="0"/>
                <w:color w:val="1A2B33"/>
                <w:sz w:val="18"/>
              </w:rPr>
              <w:t>Chile</w:t>
            </w:r>
          </w:p>
        </w:tc>
        <w:tc>
          <w:tcPr>
            <w:tcW w:type="dxa" w:w="1760"/>
            <w:shd w:val="clear" w:color="auto" w:fill="F6F8F8"/>
          </w:tcPr>
          <w:p>
            <w:pPr>
              <w:spacing w:before="20" w:after="20"/>
            </w:pPr>
            <w:r>
              <w:rPr>
                <w:rFonts w:ascii="Calibri" w:hAnsi="Calibri"/>
                <w:b w:val="0"/>
                <w:i w:val="0"/>
                <w:color w:val="1A2B33"/>
                <w:sz w:val="18"/>
              </w:rPr>
              <w:t>Comparación consumo/prescripción</w:t>
            </w:r>
          </w:p>
        </w:tc>
        <w:tc>
          <w:tcPr>
            <w:tcW w:type="dxa" w:w="2000"/>
            <w:shd w:val="clear" w:color="auto" w:fill="F6F8F8"/>
          </w:tcPr>
          <w:p>
            <w:pPr>
              <w:spacing w:before="20" w:after="20"/>
            </w:pPr>
            <w:r>
              <w:rPr>
                <w:rFonts w:ascii="Calibri" w:hAnsi="Calibri"/>
                <w:b w:val="0"/>
                <w:i w:val="0"/>
                <w:color w:val="1A2B33"/>
                <w:sz w:val="18"/>
              </w:rPr>
              <w:t>Uso educativo</w:t>
            </w:r>
          </w:p>
        </w:tc>
      </w:tr>
    </w:tbl>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13   </w:t>
            </w:r>
            <w:r>
              <w:rPr>
                <w:rFonts w:ascii="Calibri" w:hAnsi="Calibri"/>
                <w:b/>
                <w:i w:val="0"/>
                <w:color w:val="FFFFFF"/>
                <w:sz w:val="25"/>
              </w:rPr>
              <w:t>FUENTES PRINCIPALES · TRAZABILIDAD</w:t>
            </w:r>
          </w:p>
        </w:tc>
      </w:tr>
    </w:tbl>
    <w:p>
      <w:pPr>
        <w:spacing w:after="40"/>
      </w:pP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50" w:type="dxa"/>
          <w:bottom w:w="50" w:type="dxa"/>
          <w:left w:w="90" w:type="dxa"/>
          <w:right w:w="90" w:type="dxa"/>
        </w:tblCellMar>
        <w:tblW w:w="9360" w:type="dxa"/>
      </w:tblPr>
      <w:tblGrid>
        <w:gridCol w:w="2200"/>
        <w:gridCol w:w="2600"/>
        <w:gridCol w:w="700"/>
        <w:gridCol w:w="2160"/>
        <w:gridCol w:w="1700"/>
      </w:tblGrid>
      <w:tr>
        <w:tc>
          <w:tcPr>
            <w:tcW w:type="dxa" w:w="2200"/>
            <w:shd w:val="clear" w:color="auto" w:fill="0F5A54"/>
          </w:tcPr>
          <w:p>
            <w:pPr>
              <w:spacing w:before="20" w:after="20"/>
            </w:pPr>
            <w:r>
              <w:rPr>
                <w:rFonts w:ascii="Calibri" w:hAnsi="Calibri"/>
                <w:b/>
                <w:i w:val="0"/>
                <w:color w:val="FFFFFF"/>
                <w:sz w:val="17"/>
              </w:rPr>
              <w:t>Institución / autor</w:t>
            </w:r>
          </w:p>
        </w:tc>
        <w:tc>
          <w:tcPr>
            <w:tcW w:type="dxa" w:w="2600"/>
            <w:shd w:val="clear" w:color="auto" w:fill="0F5A54"/>
          </w:tcPr>
          <w:p>
            <w:pPr>
              <w:spacing w:before="20" w:after="20"/>
            </w:pPr>
            <w:r>
              <w:rPr>
                <w:rFonts w:ascii="Calibri" w:hAnsi="Calibri"/>
                <w:b/>
                <w:i w:val="0"/>
                <w:color w:val="FFFFFF"/>
                <w:sz w:val="17"/>
              </w:rPr>
              <w:t>Documento</w:t>
            </w:r>
          </w:p>
        </w:tc>
        <w:tc>
          <w:tcPr>
            <w:tcW w:type="dxa" w:w="700"/>
            <w:shd w:val="clear" w:color="auto" w:fill="0F5A54"/>
          </w:tcPr>
          <w:p>
            <w:pPr>
              <w:spacing w:before="20" w:after="20"/>
            </w:pPr>
            <w:r>
              <w:rPr>
                <w:rFonts w:ascii="Calibri" w:hAnsi="Calibri"/>
                <w:b/>
                <w:i w:val="0"/>
                <w:color w:val="FFFFFF"/>
                <w:sz w:val="17"/>
              </w:rPr>
              <w:t>Año</w:t>
            </w:r>
          </w:p>
        </w:tc>
        <w:tc>
          <w:tcPr>
            <w:tcW w:type="dxa" w:w="2160"/>
            <w:shd w:val="clear" w:color="auto" w:fill="0F5A54"/>
          </w:tcPr>
          <w:p>
            <w:pPr>
              <w:spacing w:before="20" w:after="20"/>
            </w:pPr>
            <w:r>
              <w:rPr>
                <w:rFonts w:ascii="Calibri" w:hAnsi="Calibri"/>
                <w:b/>
                <w:i w:val="0"/>
                <w:color w:val="FFFFFF"/>
                <w:sz w:val="17"/>
              </w:rPr>
              <w:t>Uso dentro del NMX</w:t>
            </w:r>
          </w:p>
        </w:tc>
        <w:tc>
          <w:tcPr>
            <w:tcW w:type="dxa" w:w="1700"/>
            <w:shd w:val="clear" w:color="auto" w:fill="0F5A54"/>
          </w:tcPr>
          <w:p>
            <w:pPr>
              <w:spacing w:before="20" w:after="20"/>
            </w:pPr>
            <w:r>
              <w:rPr>
                <w:rFonts w:ascii="Calibri" w:hAnsi="Calibri"/>
                <w:b/>
                <w:i w:val="0"/>
                <w:color w:val="FFFFFF"/>
                <w:sz w:val="17"/>
              </w:rPr>
              <w:t>Tipo</w:t>
            </w:r>
          </w:p>
        </w:tc>
      </w:tr>
      <w:tr>
        <w:tc>
          <w:tcPr>
            <w:tcW w:type="dxa" w:w="2200"/>
          </w:tcPr>
          <w:p>
            <w:pPr>
              <w:spacing w:before="20" w:after="20"/>
            </w:pPr>
            <w:r>
              <w:rPr>
                <w:rFonts w:ascii="Calibri" w:hAnsi="Calibri"/>
                <w:b w:val="0"/>
                <w:i w:val="0"/>
                <w:color w:val="1A2B33"/>
                <w:sz w:val="17"/>
              </w:rPr>
              <w:t>INTA, Universidad de Chile</w:t>
            </w:r>
          </w:p>
        </w:tc>
        <w:tc>
          <w:tcPr>
            <w:tcW w:type="dxa" w:w="2600"/>
          </w:tcPr>
          <w:p>
            <w:pPr>
              <w:spacing w:before="20" w:after="20"/>
            </w:pPr>
            <w:r>
              <w:rPr>
                <w:rFonts w:ascii="Calibri" w:hAnsi="Calibri"/>
                <w:b w:val="0"/>
                <w:i w:val="0"/>
                <w:color w:val="1A2B33"/>
                <w:sz w:val="17"/>
              </w:rPr>
              <w:t>Tabla de Composición de Alimentos</w:t>
            </w:r>
          </w:p>
        </w:tc>
        <w:tc>
          <w:tcPr>
            <w:tcW w:type="dxa" w:w="700"/>
          </w:tcPr>
          <w:p>
            <w:pPr>
              <w:spacing w:before="20" w:after="20"/>
            </w:pPr>
            <w:r>
              <w:rPr>
                <w:rFonts w:ascii="Calibri" w:hAnsi="Calibri"/>
                <w:b w:val="0"/>
                <w:i w:val="0"/>
                <w:color w:val="1A2B33"/>
                <w:sz w:val="17"/>
              </w:rPr>
              <w:t>2018</w:t>
            </w:r>
          </w:p>
        </w:tc>
        <w:tc>
          <w:tcPr>
            <w:tcW w:type="dxa" w:w="2160"/>
          </w:tcPr>
          <w:p>
            <w:pPr>
              <w:spacing w:before="20" w:after="20"/>
            </w:pPr>
            <w:r>
              <w:rPr>
                <w:rFonts w:ascii="Calibri" w:hAnsi="Calibri"/>
                <w:b w:val="0"/>
                <w:i w:val="0"/>
                <w:color w:val="1A2B33"/>
                <w:sz w:val="17"/>
              </w:rPr>
              <w:t>Base alimentaria</w:t>
            </w:r>
          </w:p>
        </w:tc>
        <w:tc>
          <w:tcPr>
            <w:tcW w:type="dxa" w:w="1700"/>
          </w:tcPr>
          <w:p>
            <w:pPr>
              <w:spacing w:before="20" w:after="20"/>
            </w:pPr>
            <w:r>
              <w:rPr>
                <w:rFonts w:ascii="Calibri" w:hAnsi="Calibri"/>
                <w:b w:val="0"/>
                <w:i w:val="0"/>
                <w:color w:val="1A2B33"/>
                <w:sz w:val="17"/>
              </w:rPr>
              <w:t>FUENTE_PRIMARIA</w:t>
            </w:r>
          </w:p>
        </w:tc>
      </w:tr>
    </w:tbl>
    <w:p>
      <w:pPr>
        <w:spacing w:before="60" w:after="80" w:line="276" w:lineRule="auto"/>
      </w:pPr>
      <w:r>
        <w:rPr>
          <w:rFonts w:ascii="Calibri" w:hAnsi="Calibri"/>
          <w:b w:val="0"/>
          <w:i/>
          <w:color w:val="45565E"/>
          <w:sz w:val="17"/>
        </w:rPr>
        <w:t>Las fuentes se citan como referencia. No se reproducen tablas, figuras ni textos completos protegidos. Cuando el libro lo indica, la base alimentaria (INTA 2018) es de uso personal y no se redistribuye.</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14   </w:t>
            </w:r>
            <w:r>
              <w:rPr>
                <w:rFonts w:ascii="Calibri" w:hAnsi="Calibri"/>
                <w:b/>
                <w:i w:val="0"/>
                <w:color w:val="FFFFFF"/>
                <w:sz w:val="25"/>
              </w:rPr>
              <w:t>LIMITACIONES</w:t>
            </w:r>
          </w:p>
        </w:tc>
      </w:tr>
    </w:tbl>
    <w:p>
      <w:pPr>
        <w:spacing w:after="40"/>
      </w:pPr>
    </w:p>
    <w:p>
      <w:pPr>
        <w:spacing w:before="40" w:after="80" w:line="276" w:lineRule="auto"/>
      </w:pPr>
      <w:r>
        <w:rPr>
          <w:rFonts w:ascii="Calibri" w:hAnsi="Calibri"/>
          <w:b w:val="0"/>
          <w:i w:val="0"/>
          <w:color w:val="1A2B33"/>
          <w:sz w:val="20"/>
        </w:rPr>
        <w:t>Depende del recuerdo del sujeto y de la prescripción en equivalentes usada como referencia. Base INTA de distribución autorizada. Exactitud matemática ≠ validación clínica.</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15   </w:t>
            </w:r>
            <w:r>
              <w:rPr>
                <w:rFonts w:ascii="Calibri" w:hAnsi="Calibri"/>
                <w:b/>
                <w:i w:val="0"/>
                <w:color w:val="FFFFFF"/>
                <w:sz w:val="25"/>
              </w:rPr>
              <w:t>ADVERTENCIAS Y CONTROL DE CALIDAD</w:t>
            </w:r>
          </w:p>
        </w:tc>
      </w:tr>
    </w:tbl>
    <w:p>
      <w:pPr>
        <w:spacing w:after="40"/>
      </w:pP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Uso educativo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Apoyo académico</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Herramienta de apoyo</w:t>
      </w:r>
    </w:p>
    <w:p>
      <w:pPr>
        <w:spacing w:before="80" w:after="80" w:line="276" w:lineRule="auto"/>
      </w:pPr>
      <w:r>
        <w:rPr>
          <w:rFonts w:ascii="Calibri" w:hAnsi="Calibri"/>
          <w:b w:val="0"/>
          <w:i/>
          <w:color w:val="45565E"/>
          <w:sz w:val="19"/>
        </w:rPr>
        <w:t>Esta herramienta forma parte de la suite NUTRIMETRÍA y ha sido sometida a procesos de auditoría matemática, funcional, estructural y documental cuando dicha condición está respaldada por la versión analizada. No se declara validación clínica ni exactitud del 100 %.</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CellMar>
          <w:top w:w="70" w:type="dxa"/>
          <w:bottom w:w="70" w:type="dxa"/>
          <w:left w:w="160" w:type="dxa"/>
          <w:right w:w="120" w:type="dxa"/>
        </w:tblCellMar>
        <w:tblW w:w="9360" w:type="dxa"/>
      </w:tblPr>
      <w:tblGrid>
        <w:gridCol w:w="10086"/>
      </w:tblGrid>
      <w:tr>
        <w:tc>
          <w:tcPr>
            <w:tcW w:type="dxa" w:w="10086"/>
            <w:shd w:val="clear" w:color="auto" w:fill="0F5A54"/>
          </w:tcPr>
          <w:p>
            <w:pPr>
              <w:spacing w:before="0" w:after="0"/>
            </w:pPr>
            <w:r>
              <w:rPr>
                <w:rFonts w:ascii="Calibri" w:hAnsi="Calibri"/>
                <w:b/>
                <w:i w:val="0"/>
                <w:color w:val="C08A2B"/>
                <w:sz w:val="25"/>
              </w:rPr>
              <w:t xml:space="preserve">16   </w:t>
            </w:r>
            <w:r>
              <w:rPr>
                <w:rFonts w:ascii="Calibri" w:hAnsi="Calibri"/>
                <w:b/>
                <w:i w:val="0"/>
                <w:color w:val="FFFFFF"/>
                <w:sz w:val="25"/>
              </w:rPr>
              <w:t>PRODUCTOS RELACIONADOS · VERSIONADO</w:t>
            </w:r>
          </w:p>
        </w:tc>
      </w:tr>
    </w:tbl>
    <w:p>
      <w:pPr>
        <w:spacing w:after="40"/>
      </w:pPr>
    </w:p>
    <w:p>
      <w:pPr>
        <w:spacing w:before="40" w:after="40" w:line="276" w:lineRule="auto"/>
      </w:pPr>
      <w:r>
        <w:rPr>
          <w:rFonts w:ascii="Calibri" w:hAnsi="Calibri"/>
          <w:b/>
          <w:i w:val="0"/>
          <w:color w:val="0A3E3A"/>
          <w:sz w:val="20"/>
        </w:rPr>
        <w:t>Productos relacionados dentro de la suite</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NMX-13 · Recordatorio de 24 Horas (con catálogo PAL, NMX-01)</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NMX-25 · Constructor de Platillos (Equivalentes Autorizados)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NMX-07 · Gestor de Creación de Dietas</w:t>
      </w:r>
    </w:p>
    <w:p>
      <w:pPr>
        <w:spacing w:before="20" w:after="60"/>
        <w:ind w:left="340" w:hanging="198"/>
      </w:pPr>
      <w:r>
        <w:rPr>
          <w:rFonts w:ascii="Calibri" w:hAnsi="Calibri"/>
          <w:b/>
          <w:i w:val="0"/>
          <w:color w:val="0F5A54"/>
          <w:sz w:val="19"/>
        </w:rPr>
        <w:t xml:space="preserve">▪  </w:t>
      </w:r>
      <w:r>
        <w:rPr>
          <w:rFonts w:ascii="Calibri" w:hAnsi="Calibri"/>
          <w:b w:val="0"/>
          <w:i w:val="0"/>
          <w:color w:val="1A2B33"/>
          <w:sz w:val="20"/>
        </w:rPr>
        <w:t>NMX-02 · Tabla Dietosintética Semanal</w:t>
      </w:r>
    </w:p>
    <w:p>
      <w:pPr>
        <w:spacing w:before="80" w:after="40" w:line="276" w:lineRule="auto"/>
      </w:pPr>
      <w:r>
        <w:rPr>
          <w:rFonts w:ascii="Calibri" w:hAnsi="Calibri"/>
          <w:b/>
          <w:i w:val="0"/>
          <w:color w:val="0A3E3A"/>
          <w:sz w:val="20"/>
        </w:rPr>
        <w:t>Versionado</w:t>
      </w:r>
    </w:p>
    <w:tbl>
      <w:tblPr>
        <w:tblW w:type="auto" w:w="0"/>
        <w:jc w:val="center"/>
        <w:tblLook w:firstColumn="1" w:firstRow="1" w:lastColumn="0" w:lastRow="0" w:noHBand="0" w:noVBand="1" w:val="04A0"/>
        <w:tblBorders>
          <w:top w:val="single" w:sz="4" w:space="0" w:color="D6DEDD"/>
          <w:left w:val="single" w:sz="4" w:space="0" w:color="D6DEDD"/>
          <w:bottom w:val="single" w:sz="4" w:space="0" w:color="D6DEDD"/>
          <w:right w:val="single" w:sz="4" w:space="0" w:color="D6DEDD"/>
          <w:insideH w:val="single" w:sz="4" w:space="0" w:color="D6DEDD"/>
          <w:insideV w:val="single" w:sz="4" w:space="0" w:color="D6DEDD"/>
        </w:tblBorders>
        <w:tblLayout w:type="fixed"/>
        <w:tblCellMar>
          <w:top w:w="60" w:type="dxa"/>
          <w:bottom w:w="60" w:type="dxa"/>
          <w:left w:w="100" w:type="dxa"/>
          <w:right w:w="100" w:type="dxa"/>
        </w:tblCellMar>
        <w:tblW w:w="9360" w:type="dxa"/>
      </w:tblPr>
      <w:tblGrid>
        <w:gridCol w:w="2600"/>
        <w:gridCol w:w="6760"/>
      </w:tblGrid>
      <w:tr>
        <w:tc>
          <w:tcPr>
            <w:tcW w:type="dxa" w:w="2600"/>
            <w:shd w:val="clear" w:color="auto" w:fill="EDF2F1"/>
          </w:tcPr>
          <w:p>
            <w:pPr>
              <w:spacing w:before="20" w:after="20"/>
            </w:pPr>
            <w:r>
              <w:rPr>
                <w:rFonts w:ascii="Calibri" w:hAnsi="Calibri"/>
                <w:b/>
                <w:i w:val="0"/>
                <w:color w:val="0A3E3A"/>
                <w:sz w:val="19"/>
              </w:rPr>
              <w:t>Producto_ID</w:t>
            </w:r>
          </w:p>
        </w:tc>
        <w:tc>
          <w:tcPr>
            <w:tcW w:type="dxa" w:w="6760"/>
          </w:tcPr>
          <w:p>
            <w:pPr>
              <w:spacing w:before="20" w:after="20"/>
            </w:pPr>
            <w:r>
              <w:rPr>
                <w:rFonts w:ascii="Calibri" w:hAnsi="Calibri"/>
                <w:b w:val="0"/>
                <w:i w:val="0"/>
                <w:color w:val="1A2B33"/>
                <w:sz w:val="19"/>
              </w:rPr>
              <w:t>NMX-17</w:t>
            </w:r>
          </w:p>
        </w:tc>
      </w:tr>
      <w:tr>
        <w:tc>
          <w:tcPr>
            <w:tcW w:type="dxa" w:w="2600"/>
            <w:shd w:val="clear" w:color="auto" w:fill="EDF2F1"/>
          </w:tcPr>
          <w:p>
            <w:pPr>
              <w:spacing w:before="20" w:after="20"/>
            </w:pPr>
            <w:r>
              <w:rPr>
                <w:rFonts w:ascii="Calibri" w:hAnsi="Calibri"/>
                <w:b/>
                <w:i w:val="0"/>
                <w:color w:val="0A3E3A"/>
                <w:sz w:val="19"/>
              </w:rPr>
              <w:t>Archivo analizado</w:t>
            </w:r>
          </w:p>
        </w:tc>
        <w:tc>
          <w:tcPr>
            <w:tcW w:type="dxa" w:w="6760"/>
          </w:tcPr>
          <w:p>
            <w:pPr>
              <w:spacing w:before="20" w:after="20"/>
            </w:pPr>
            <w:r>
              <w:rPr>
                <w:rFonts w:ascii="Calibri" w:hAnsi="Calibri"/>
                <w:b w:val="0"/>
                <w:i w:val="0"/>
                <w:color w:val="1A2B33"/>
                <w:sz w:val="19"/>
              </w:rPr>
              <w:t>NMX-17_Recordatorio_24h_Equivalentes_aprobado(2)_COMERCIAL_PRE_P19_REPARADO_PRE_P19.xlsx</w:t>
            </w:r>
          </w:p>
        </w:tc>
      </w:tr>
      <w:tr>
        <w:tc>
          <w:tcPr>
            <w:tcW w:type="dxa" w:w="2600"/>
            <w:shd w:val="clear" w:color="auto" w:fill="EDF2F1"/>
          </w:tcPr>
          <w:p>
            <w:pPr>
              <w:spacing w:before="20" w:after="20"/>
            </w:pPr>
            <w:r>
              <w:rPr>
                <w:rFonts w:ascii="Calibri" w:hAnsi="Calibri"/>
                <w:b/>
                <w:i w:val="0"/>
                <w:color w:val="0A3E3A"/>
                <w:sz w:val="19"/>
              </w:rPr>
              <w:t>Versión visible</w:t>
            </w:r>
          </w:p>
        </w:tc>
        <w:tc>
          <w:tcPr>
            <w:tcW w:type="dxa" w:w="6760"/>
          </w:tcPr>
          <w:p>
            <w:pPr>
              <w:spacing w:before="20" w:after="20"/>
            </w:pPr>
            <w:r>
              <w:rPr>
                <w:rFonts w:ascii="Calibri" w:hAnsi="Calibri"/>
                <w:b w:val="0"/>
                <w:i w:val="0"/>
                <w:color w:val="1A2B33"/>
                <w:sz w:val="19"/>
              </w:rPr>
              <w:t>NO_CONFIRMADO</w:t>
            </w:r>
          </w:p>
        </w:tc>
      </w:tr>
      <w:tr>
        <w:tc>
          <w:tcPr>
            <w:tcW w:type="dxa" w:w="2600"/>
            <w:shd w:val="clear" w:color="auto" w:fill="EDF2F1"/>
          </w:tcPr>
          <w:p>
            <w:pPr>
              <w:spacing w:before="20" w:after="20"/>
            </w:pPr>
            <w:r>
              <w:rPr>
                <w:rFonts w:ascii="Calibri" w:hAnsi="Calibri"/>
                <w:b/>
                <w:i w:val="0"/>
                <w:color w:val="0A3E3A"/>
                <w:sz w:val="19"/>
              </w:rPr>
              <w:t>Estado documental</w:t>
            </w:r>
          </w:p>
        </w:tc>
        <w:tc>
          <w:tcPr>
            <w:tcW w:type="dxa" w:w="6760"/>
          </w:tcPr>
          <w:p>
            <w:pPr>
              <w:spacing w:before="20" w:after="20"/>
            </w:pPr>
            <w:r>
              <w:rPr>
                <w:rFonts w:ascii="Calibri" w:hAnsi="Calibri"/>
                <w:b w:val="0"/>
                <w:i w:val="0"/>
                <w:color w:val="1A2B33"/>
                <w:sz w:val="19"/>
              </w:rPr>
              <w:t>PRE_P19 (estado documental declarado en el nombre del archivo)</w:t>
            </w:r>
          </w:p>
        </w:tc>
      </w:tr>
    </w:tbl>
    <w:p>
      <w:r>
        <w:br w:type="page"/>
      </w:r>
    </w:p>
    <w:p>
      <w:pPr>
        <w:spacing w:before="40" w:after="800" w:line="276" w:lineRule="auto"/>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260" w:type="dxa"/>
          <w:bottom w:w="260" w:type="dxa"/>
          <w:left w:w="220" w:type="dxa"/>
          <w:right w:w="220" w:type="dxa"/>
        </w:tblCellMar>
        <w:tblW w:w="9360" w:type="dxa"/>
      </w:tblPr>
      <w:tblGrid>
        <w:gridCol w:w="10086"/>
      </w:tblGrid>
      <w:tr>
        <w:tc>
          <w:tcPr>
            <w:tcW w:type="dxa" w:w="10086"/>
            <w:shd w:val="clear" w:color="auto" w:fill="0A3E3A"/>
          </w:tcPr>
          <w:p>
            <w:pPr>
              <w:spacing w:before="0" w:after="0"/>
              <w:jc w:val="center"/>
            </w:pPr>
            <w:r>
              <w:rPr>
                <w:rFonts w:ascii="Calibri" w:hAnsi="Calibri"/>
                <w:b/>
                <w:i w:val="0"/>
                <w:color w:val="FFFFFF"/>
                <w:sz w:val="52"/>
              </w:rPr>
              <w:t>NUTRIMETRÍA</w:t>
            </w:r>
          </w:p>
          <w:p>
            <w:pPr>
              <w:spacing w:before="120" w:after="0"/>
              <w:jc w:val="center"/>
            </w:pPr>
            <w:r>
              <w:rPr>
                <w:rFonts w:ascii="Calibri" w:hAnsi="Calibri"/>
                <w:b/>
                <w:i w:val="0"/>
                <w:color w:val="EDF2F1"/>
                <w:sz w:val="24"/>
              </w:rPr>
              <w:t>NMX-17 · Recordatorio de 24 Horas Conectado a Equivalentes</w:t>
            </w:r>
          </w:p>
          <w:p>
            <w:pPr>
              <w:spacing w:before="80" w:after="0"/>
              <w:jc w:val="center"/>
            </w:pPr>
            <w:r>
              <w:rPr>
                <w:rFonts w:ascii="Calibri" w:hAnsi="Calibri"/>
                <w:b w:val="0"/>
                <w:i w:val="0"/>
                <w:color w:val="EDF2F1"/>
                <w:sz w:val="20"/>
              </w:rPr>
              <w:t>Fase 3 · Evaluación y Registro · NO_CONFIRMADO · 2026</w:t>
            </w:r>
          </w:p>
        </w:tc>
      </w:tr>
    </w:tbl>
    <w:p>
      <w:pPr>
        <w:spacing w:before="40" w:after="280" w:line="276" w:lineRule="auto"/>
      </w:pPr>
    </w:p>
    <w:p>
      <w:pPr>
        <w:spacing w:before="40" w:after="120" w:line="276" w:lineRule="auto"/>
        <w:jc w:val="center"/>
      </w:pPr>
      <w:r>
        <w:rPr>
          <w:rFonts w:ascii="Calibri" w:hAnsi="Calibri"/>
          <w:b/>
          <w:i w:val="0"/>
          <w:color w:val="0F5A54"/>
          <w:sz w:val="24"/>
        </w:rPr>
        <w:t>Herramienta educativa para Nutrición y Dietética</w:t>
      </w:r>
    </w:p>
    <w:p>
      <w:pPr>
        <w:spacing w:before="40" w:after="80" w:line="276" w:lineRule="auto"/>
        <w:jc w:val="center"/>
      </w:pPr>
      <w:r>
        <w:rPr>
          <w:rFonts w:ascii="Calibri" w:hAnsi="Calibri"/>
          <w:b w:val="0"/>
          <w:i/>
          <w:color w:val="45565E"/>
          <w:sz w:val="19"/>
        </w:rPr>
        <w:t>Suite NUTRIMETRÍA — orden, trazabilidad, aprendizaje, metodología, automatización y usabilidad.</w:t>
      </w:r>
    </w:p>
    <w:sectPr w:rsidR="00FC693F" w:rsidRPr="0006063C" w:rsidSect="00034616">
      <w:footerReference w:type="default" r:id="rId9"/>
      <w:pgSz w:w="12240" w:h="15840"/>
      <w:pgMar w:top="907" w:right="1077" w:bottom="85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tabs>
        <w:tab w:val="center" w:pos="4680"/>
        <w:tab w:val="right" w:pos="9360"/>
      </w:tabs>
    </w:pPr>
    <w:r>
      <w:rPr>
        <w:rFonts w:ascii="Calibri" w:hAnsi="Calibri"/>
        <w:b/>
        <w:i w:val="0"/>
        <w:color w:val="0F5A54"/>
        <w:sz w:val="16"/>
      </w:rPr>
      <w:t>NUTRIMETRÍA</w:t>
    </w:r>
    <w:r>
      <w:rPr>
        <w:rFonts w:ascii="Calibri" w:hAnsi="Calibri"/>
        <w:b w:val="0"/>
        <w:i w:val="0"/>
        <w:color w:val="45565E"/>
        <w:sz w:val="16"/>
      </w:rPr>
      <w:tab/>
      <w:t>NMX-17 · Recordatorio de 24 Horas Conectado a Equivalen</w:t>
    </w:r>
    <w:r>
      <w:rPr>
        <w:rFonts w:ascii="Calibri" w:hAnsi="Calibri"/>
        <w:b w:val="0"/>
        <w:i w:val="0"/>
        <w:color w:val="45565E"/>
        <w:sz w:val="16"/>
      </w:rPr>
      <w:tab/>
      <w:t xml:space="preserve">Pág.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