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NMX-20</w:t>
      </w:r>
    </w:p>
    <w:p>
      <w:pPr>
        <w:spacing w:before="0" w:after="160" w:line="252" w:lineRule="auto"/>
      </w:pPr>
      <w:r>
        <w:rPr>
          <w:rFonts w:ascii="Calibri" w:hAnsi="Calibri"/>
          <w:b/>
          <w:i w:val="0"/>
          <w:color w:val="1A2B33"/>
          <w:sz w:val="38"/>
        </w:rPr>
        <w:t>Formulario Integral de Evaluación (Adulto, Persona Mayor, Hospital, Deporte, TEM, Frisancho)</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5 · Clínica</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Evaluación antropométrica integral</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v3.0.1</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(declarado). Estructura extensa (33 hojas); hojas auxiliares ocultas, disponibles para auditoría.</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NMX-20_QA_REAL_CORREGIDO_v3_0_1_COMERCIAL_PRE_P19_REPARADO_PRE_P19.xlsx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NMX-20 · Formulario Integral de Evaluación (Adulto, Persona Mayor, Hospital, Deporte, TEM, Frisancho)</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5 · Clínica</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Evaluación antropométrica integral</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Docente; Nutricionista (apoyo académico/clínico); Estudiante de Nutrición y Dietética (avanzado)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calcular, clasificar (orientadora) y trazar académicamente evaluaciones antropométricas integrando recordatorio, composición, somatotipo y referencias.</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Datos personales: Identificación (usar código); Alimentación: Recordatorio de 24 h; Antropometría: Pliegues, perímetros, mediciones</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Síntesis integrada; Composición y somatotipo; Clasificación orientadora</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v3.0.1</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(declarado). Estructura extensa (33 hojas); hojas auxiliares ocultas, disponibles para auditoría.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NMX-20 es el formulario integral de evaluación (versión académica 3.0.1, 33 hojas): reúne identificación, recordatorio de 24 h (base INTA 2018), mediciones, composición corporal, somatotipo (Heath–Carter) y una síntesis integrada, con módulos para adulto, persona mayor, hospitalizado y deporte, arquitectura de referencia Frisancho y cálculo del error técnico de medición (TEM). Incluye MANUAL_USO y AUDITORIA_ACADEMICA. Su '100% académico' significa requisitos documentados implementados/probados, no validación clínica universal. Es la evaluación más completa de la Fase 5.</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Registrar, calcular, clasificar (orientadora) y trazar académicamente evaluaciones antropométricas integrando recordatorio, composición, somatotipo y referencias.</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Registrar identificación, ingesta y mediciones.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Calcular composición y somatotipo (Heath–Carter).</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Clasificar de forma orientadora por población (adulto/mayor/hospital/deporte).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académico/clínico)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 (avanzado)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Adulto, persona mayor, hospitalizado y deporte; arquitectura de referencia Frisancho; incluye TEM.</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Registro integral</w:t>
            </w:r>
          </w:p>
        </w:tc>
        <w:tc>
          <w:tcPr>
            <w:tcW w:type="dxa" w:w="2500"/>
          </w:tcPr>
          <w:p>
            <w:pPr>
              <w:spacing w:before="20" w:after="20"/>
            </w:pPr>
            <w:r>
              <w:rPr>
                <w:rFonts w:ascii="Calibri" w:hAnsi="Calibri"/>
                <w:b w:val="0"/>
                <w:i w:val="0"/>
                <w:color w:val="1A2B33"/>
                <w:sz w:val="18"/>
              </w:rPr>
              <w:t>Reúne ingesta y mediciones</w:t>
            </w:r>
          </w:p>
        </w:tc>
        <w:tc>
          <w:tcPr>
            <w:tcW w:type="dxa" w:w="2000"/>
          </w:tcPr>
          <w:p>
            <w:pPr>
              <w:spacing w:before="20" w:after="20"/>
            </w:pPr>
            <w:r>
              <w:rPr>
                <w:rFonts w:ascii="Calibri" w:hAnsi="Calibri"/>
                <w:b w:val="0"/>
                <w:i w:val="0"/>
                <w:color w:val="1A2B33"/>
                <w:sz w:val="18"/>
              </w:rPr>
              <w:t>Datos de la persona</w:t>
            </w:r>
          </w:p>
        </w:tc>
        <w:tc>
          <w:tcPr>
            <w:tcW w:type="dxa" w:w="2160"/>
          </w:tcPr>
          <w:p>
            <w:pPr>
              <w:spacing w:before="20" w:after="20"/>
            </w:pPr>
            <w:r>
              <w:rPr>
                <w:rFonts w:ascii="Calibri" w:hAnsi="Calibri"/>
                <w:b w:val="0"/>
                <w:i w:val="0"/>
                <w:color w:val="1A2B33"/>
                <w:sz w:val="18"/>
              </w:rPr>
              <w:t>Evaluación integrada</w:t>
            </w:r>
          </w:p>
        </w:tc>
        <w:tc>
          <w:tcPr>
            <w:tcW w:type="dxa" w:w="1200"/>
          </w:tcPr>
          <w:p>
            <w:pPr>
              <w:spacing w:before="20" w:after="20"/>
            </w:pPr>
            <w:r>
              <w:rPr>
                <w:rFonts w:ascii="Calibri" w:hAnsi="Calibri"/>
                <w:b w:val="0"/>
                <w:i w:val="0"/>
                <w:color w:val="1A2B33"/>
                <w:sz w:val="18"/>
              </w:rPr>
              <w:t>Avanzado</w:t>
            </w:r>
          </w:p>
        </w:tc>
      </w:tr>
      <w:tr>
        <w:tc>
          <w:tcPr>
            <w:tcW w:type="dxa" w:w="1500"/>
            <w:shd w:val="clear" w:color="auto" w:fill="F6F8F8"/>
          </w:tcPr>
          <w:p>
            <w:pPr>
              <w:spacing w:before="20" w:after="20"/>
            </w:pPr>
            <w:r>
              <w:rPr>
                <w:rFonts w:ascii="Calibri" w:hAnsi="Calibri"/>
                <w:b w:val="0"/>
                <w:i w:val="0"/>
                <w:color w:val="1A2B33"/>
                <w:sz w:val="18"/>
              </w:rPr>
              <w:t>Composición y somatotipo</w:t>
            </w:r>
          </w:p>
        </w:tc>
        <w:tc>
          <w:tcPr>
            <w:tcW w:type="dxa" w:w="2500"/>
            <w:shd w:val="clear" w:color="auto" w:fill="F6F8F8"/>
          </w:tcPr>
          <w:p>
            <w:pPr>
              <w:spacing w:before="20" w:after="20"/>
            </w:pPr>
            <w:r>
              <w:rPr>
                <w:rFonts w:ascii="Calibri" w:hAnsi="Calibri"/>
                <w:b w:val="0"/>
                <w:i w:val="0"/>
                <w:color w:val="1A2B33"/>
                <w:sz w:val="18"/>
              </w:rPr>
              <w:t>Calcula densidad/grasa y Heath–Carter</w:t>
            </w:r>
          </w:p>
        </w:tc>
        <w:tc>
          <w:tcPr>
            <w:tcW w:type="dxa" w:w="2000"/>
            <w:shd w:val="clear" w:color="auto" w:fill="F6F8F8"/>
          </w:tcPr>
          <w:p>
            <w:pPr>
              <w:spacing w:before="20" w:after="20"/>
            </w:pPr>
            <w:r>
              <w:rPr>
                <w:rFonts w:ascii="Calibri" w:hAnsi="Calibri"/>
                <w:b w:val="0"/>
                <w:i w:val="0"/>
                <w:color w:val="1A2B33"/>
                <w:sz w:val="18"/>
              </w:rPr>
              <w:t>Mediciones</w:t>
            </w:r>
          </w:p>
        </w:tc>
        <w:tc>
          <w:tcPr>
            <w:tcW w:type="dxa" w:w="2160"/>
            <w:shd w:val="clear" w:color="auto" w:fill="F6F8F8"/>
          </w:tcPr>
          <w:p>
            <w:pPr>
              <w:spacing w:before="20" w:after="20"/>
            </w:pPr>
            <w:r>
              <w:rPr>
                <w:rFonts w:ascii="Calibri" w:hAnsi="Calibri"/>
                <w:b w:val="0"/>
                <w:i w:val="0"/>
                <w:color w:val="1A2B33"/>
                <w:sz w:val="18"/>
              </w:rPr>
              <w:t>Composición + somatotipo</w:t>
            </w:r>
          </w:p>
        </w:tc>
        <w:tc>
          <w:tcPr>
            <w:tcW w:type="dxa" w:w="1200"/>
            <w:shd w:val="clear" w:color="auto" w:fill="F6F8F8"/>
          </w:tcPr>
          <w:p>
            <w:pPr>
              <w:spacing w:before="20" w:after="20"/>
            </w:pPr>
            <w:r>
              <w:rPr>
                <w:rFonts w:ascii="Calibri" w:hAnsi="Calibri"/>
                <w:b w:val="0"/>
                <w:i w:val="0"/>
                <w:color w:val="1A2B33"/>
                <w:sz w:val="18"/>
              </w:rPr>
              <w:t>Avanzado</w:t>
            </w:r>
          </w:p>
        </w:tc>
      </w:tr>
      <w:tr>
        <w:tc>
          <w:tcPr>
            <w:tcW w:type="dxa" w:w="1500"/>
          </w:tcPr>
          <w:p>
            <w:pPr>
              <w:spacing w:before="20" w:after="20"/>
            </w:pPr>
            <w:r>
              <w:rPr>
                <w:rFonts w:ascii="Calibri" w:hAnsi="Calibri"/>
                <w:b w:val="0"/>
                <w:i w:val="0"/>
                <w:color w:val="1A2B33"/>
                <w:sz w:val="18"/>
              </w:rPr>
              <w:t>Clasificación por población</w:t>
            </w:r>
          </w:p>
        </w:tc>
        <w:tc>
          <w:tcPr>
            <w:tcW w:type="dxa" w:w="2500"/>
          </w:tcPr>
          <w:p>
            <w:pPr>
              <w:spacing w:before="20" w:after="20"/>
            </w:pPr>
            <w:r>
              <w:rPr>
                <w:rFonts w:ascii="Calibri" w:hAnsi="Calibri"/>
                <w:b w:val="0"/>
                <w:i w:val="0"/>
                <w:color w:val="1A2B33"/>
                <w:sz w:val="18"/>
              </w:rPr>
              <w:t>Clasifica orientadamente (adulto/mayor/hospital/deporte)</w:t>
            </w:r>
          </w:p>
        </w:tc>
        <w:tc>
          <w:tcPr>
            <w:tcW w:type="dxa" w:w="2000"/>
          </w:tcPr>
          <w:p>
            <w:pPr>
              <w:spacing w:before="20" w:after="20"/>
            </w:pPr>
            <w:r>
              <w:rPr>
                <w:rFonts w:ascii="Calibri" w:hAnsi="Calibri"/>
                <w:b w:val="0"/>
                <w:i w:val="0"/>
                <w:color w:val="1A2B33"/>
                <w:sz w:val="18"/>
              </w:rPr>
              <w:t>Datos + criterios</w:t>
            </w:r>
          </w:p>
        </w:tc>
        <w:tc>
          <w:tcPr>
            <w:tcW w:type="dxa" w:w="2160"/>
          </w:tcPr>
          <w:p>
            <w:pPr>
              <w:spacing w:before="20" w:after="20"/>
            </w:pPr>
            <w:r>
              <w:rPr>
                <w:rFonts w:ascii="Calibri" w:hAnsi="Calibri"/>
                <w:b w:val="0"/>
                <w:i w:val="0"/>
                <w:color w:val="1A2B33"/>
                <w:sz w:val="18"/>
              </w:rPr>
              <w:t>Clasificación orientadora</w:t>
            </w:r>
          </w:p>
        </w:tc>
        <w:tc>
          <w:tcPr>
            <w:tcW w:type="dxa" w:w="1200"/>
          </w:tcPr>
          <w:p>
            <w:pPr>
              <w:spacing w:before="20" w:after="20"/>
            </w:pPr>
            <w:r>
              <w:rPr>
                <w:rFonts w:ascii="Calibri" w:hAnsi="Calibri"/>
                <w:b w:val="0"/>
                <w:i w:val="0"/>
                <w:color w:val="1A2B33"/>
                <w:sz w:val="18"/>
              </w:rPr>
              <w:t>Avanzado</w:t>
            </w:r>
          </w:p>
        </w:tc>
      </w:tr>
      <w:tr>
        <w:tc>
          <w:tcPr>
            <w:tcW w:type="dxa" w:w="1500"/>
            <w:shd w:val="clear" w:color="auto" w:fill="F6F8F8"/>
          </w:tcPr>
          <w:p>
            <w:pPr>
              <w:spacing w:before="20" w:after="20"/>
            </w:pPr>
            <w:r>
              <w:rPr>
                <w:rFonts w:ascii="Calibri" w:hAnsi="Calibri"/>
                <w:b w:val="0"/>
                <w:i w:val="0"/>
                <w:color w:val="1A2B33"/>
                <w:sz w:val="18"/>
              </w:rPr>
              <w:t>TEM</w:t>
            </w:r>
          </w:p>
        </w:tc>
        <w:tc>
          <w:tcPr>
            <w:tcW w:type="dxa" w:w="2500"/>
            <w:shd w:val="clear" w:color="auto" w:fill="F6F8F8"/>
          </w:tcPr>
          <w:p>
            <w:pPr>
              <w:spacing w:before="20" w:after="20"/>
            </w:pPr>
            <w:r>
              <w:rPr>
                <w:rFonts w:ascii="Calibri" w:hAnsi="Calibri"/>
                <w:b w:val="0"/>
                <w:i w:val="0"/>
                <w:color w:val="1A2B33"/>
                <w:sz w:val="18"/>
              </w:rPr>
              <w:t>Calcula el error técnico de medición</w:t>
            </w:r>
          </w:p>
        </w:tc>
        <w:tc>
          <w:tcPr>
            <w:tcW w:type="dxa" w:w="2000"/>
            <w:shd w:val="clear" w:color="auto" w:fill="F6F8F8"/>
          </w:tcPr>
          <w:p>
            <w:pPr>
              <w:spacing w:before="20" w:after="20"/>
            </w:pPr>
            <w:r>
              <w:rPr>
                <w:rFonts w:ascii="Calibri" w:hAnsi="Calibri"/>
                <w:b w:val="0"/>
                <w:i w:val="0"/>
                <w:color w:val="1A2B33"/>
                <w:sz w:val="18"/>
              </w:rPr>
              <w:t>Mediciones repetidas</w:t>
            </w:r>
          </w:p>
        </w:tc>
        <w:tc>
          <w:tcPr>
            <w:tcW w:type="dxa" w:w="2160"/>
            <w:shd w:val="clear" w:color="auto" w:fill="F6F8F8"/>
          </w:tcPr>
          <w:p>
            <w:pPr>
              <w:spacing w:before="20" w:after="20"/>
            </w:pPr>
            <w:r>
              <w:rPr>
                <w:rFonts w:ascii="Calibri" w:hAnsi="Calibri"/>
                <w:b w:val="0"/>
                <w:i w:val="0"/>
                <w:color w:val="1A2B33"/>
                <w:sz w:val="18"/>
              </w:rPr>
              <w:t>TEM</w:t>
            </w:r>
          </w:p>
        </w:tc>
        <w:tc>
          <w:tcPr>
            <w:tcW w:type="dxa" w:w="1200"/>
            <w:shd w:val="clear" w:color="auto" w:fill="F6F8F8"/>
          </w:tcPr>
          <w:p>
            <w:pPr>
              <w:spacing w:before="20" w:after="20"/>
            </w:pPr>
            <w:r>
              <w:rPr>
                <w:rFonts w:ascii="Calibri" w:hAnsi="Calibri"/>
                <w:b w:val="0"/>
                <w:i w:val="0"/>
                <w:color w:val="1A2B33"/>
                <w:sz w:val="18"/>
              </w:rPr>
              <w:t>Avanzado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Identificación (usar código)</w:t>
      </w:r>
    </w:p>
    <w:p>
      <w:pPr>
        <w:spacing w:before="60" w:after="20" w:line="276" w:lineRule="auto"/>
      </w:pPr>
      <w:r>
        <w:rPr>
          <w:rFonts w:ascii="Calibri" w:hAnsi="Calibri"/>
          <w:b/>
          <w:i w:val="0"/>
          <w:color w:val="0A3E3A"/>
          <w:sz w:val="20"/>
        </w:rPr>
        <w:t>Alimentación</w:t>
      </w:r>
    </w:p>
    <w:p>
      <w:pPr>
        <w:spacing w:before="40" w:after="60" w:line="276" w:lineRule="auto"/>
      </w:pPr>
      <w:r>
        <w:rPr>
          <w:rFonts w:ascii="Calibri" w:hAnsi="Calibri"/>
          <w:b w:val="0"/>
          <w:i w:val="0"/>
          <w:color w:val="1A2B33"/>
          <w:sz w:val="19"/>
        </w:rPr>
        <w:t>Recordatorio de 24 h</w:t>
      </w:r>
    </w:p>
    <w:p>
      <w:pPr>
        <w:spacing w:before="60" w:after="20" w:line="276" w:lineRule="auto"/>
      </w:pPr>
      <w:r>
        <w:rPr>
          <w:rFonts w:ascii="Calibri" w:hAnsi="Calibri"/>
          <w:b/>
          <w:i w:val="0"/>
          <w:color w:val="0A3E3A"/>
          <w:sz w:val="20"/>
        </w:rPr>
        <w:t>Antropometría</w:t>
      </w:r>
    </w:p>
    <w:p>
      <w:pPr>
        <w:spacing w:before="40" w:after="60" w:line="276" w:lineRule="auto"/>
      </w:pPr>
      <w:r>
        <w:rPr>
          <w:rFonts w:ascii="Calibri" w:hAnsi="Calibri"/>
          <w:b w:val="0"/>
          <w:i w:val="0"/>
          <w:color w:val="1A2B33"/>
          <w:sz w:val="19"/>
        </w:rPr>
        <w:t>Pliegues, perímetros, mediciones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Síntesis integrada</w:t>
            </w:r>
          </w:p>
        </w:tc>
        <w:tc>
          <w:tcPr>
            <w:tcW w:type="dxa" w:w="1700"/>
          </w:tcPr>
          <w:p>
            <w:pPr>
              <w:spacing w:before="20" w:after="20"/>
            </w:pPr>
            <w:r>
              <w:rPr>
                <w:rFonts w:ascii="Calibri" w:hAnsi="Calibri"/>
                <w:b w:val="0"/>
                <w:i w:val="0"/>
                <w:color w:val="1A2B33"/>
                <w:sz w:val="18"/>
              </w:rPr>
              <w:t>INFORME</w:t>
            </w:r>
          </w:p>
        </w:tc>
        <w:tc>
          <w:tcPr>
            <w:tcW w:type="dxa" w:w="1560"/>
          </w:tcPr>
          <w:p>
            <w:pPr>
              <w:spacing w:before="20" w:after="20"/>
            </w:pPr>
            <w:r>
              <w:rPr>
                <w:rFonts w:ascii="Calibri" w:hAnsi="Calibri"/>
                <w:b w:val="0"/>
                <w:i w:val="0"/>
                <w:color w:val="1A2B33"/>
                <w:sz w:val="18"/>
              </w:rPr>
              <w:t>estructura</w:t>
            </w:r>
          </w:p>
        </w:tc>
        <w:tc>
          <w:tcPr>
            <w:tcW w:type="dxa" w:w="3100"/>
          </w:tcPr>
          <w:p>
            <w:pPr>
              <w:spacing w:before="20" w:after="20"/>
            </w:pPr>
            <w:r>
              <w:rPr>
                <w:rFonts w:ascii="Calibri" w:hAnsi="Calibri"/>
                <w:b w:val="0"/>
                <w:i w:val="0"/>
                <w:color w:val="1A2B33"/>
                <w:sz w:val="18"/>
              </w:rPr>
              <w:t>Depende del registro</w:t>
            </w:r>
          </w:p>
        </w:tc>
      </w:tr>
      <w:tr>
        <w:tc>
          <w:tcPr>
            <w:tcW w:type="dxa" w:w="3000"/>
            <w:shd w:val="clear" w:color="auto" w:fill="F6F8F8"/>
          </w:tcPr>
          <w:p>
            <w:pPr>
              <w:spacing w:before="20" w:after="20"/>
            </w:pPr>
            <w:r>
              <w:rPr>
                <w:rFonts w:ascii="Calibri" w:hAnsi="Calibri"/>
                <w:b w:val="0"/>
                <w:i w:val="0"/>
                <w:color w:val="1A2B33"/>
                <w:sz w:val="18"/>
              </w:rPr>
              <w:t>Composición y somatotipo</w:t>
            </w:r>
          </w:p>
        </w:tc>
        <w:tc>
          <w:tcPr>
            <w:tcW w:type="dxa" w:w="1700"/>
            <w:shd w:val="clear" w:color="auto" w:fill="F6F8F8"/>
          </w:tcPr>
          <w:p>
            <w:pPr>
              <w:spacing w:before="20" w:after="20"/>
            </w:pPr>
            <w:r>
              <w:rPr>
                <w:rFonts w:ascii="Calibri" w:hAnsi="Calibri"/>
                <w:b w:val="0"/>
                <w:i w:val="0"/>
                <w:color w:val="1A2B33"/>
                <w:sz w:val="18"/>
              </w:rPr>
              <w:t>CÁLCULO</w:t>
            </w:r>
          </w:p>
        </w:tc>
        <w:tc>
          <w:tcPr>
            <w:tcW w:type="dxa" w:w="1560"/>
            <w:shd w:val="clear" w:color="auto" w:fill="F6F8F8"/>
          </w:tcPr>
          <w:p>
            <w:pPr>
              <w:spacing w:before="20" w:after="20"/>
            </w:pPr>
            <w:r>
              <w:rPr>
                <w:rFonts w:ascii="Calibri" w:hAnsi="Calibri"/>
                <w:b w:val="0"/>
                <w:i w:val="0"/>
                <w:color w:val="1A2B33"/>
                <w:sz w:val="18"/>
              </w:rPr>
              <w:t>%/componentes</w:t>
            </w:r>
          </w:p>
        </w:tc>
        <w:tc>
          <w:tcPr>
            <w:tcW w:type="dxa" w:w="3100"/>
            <w:shd w:val="clear" w:color="auto" w:fill="F6F8F8"/>
          </w:tcPr>
          <w:p>
            <w:pPr>
              <w:spacing w:before="20" w:after="20"/>
            </w:pPr>
            <w:r>
              <w:rPr>
                <w:rFonts w:ascii="Calibri" w:hAnsi="Calibri"/>
                <w:b w:val="0"/>
                <w:i w:val="0"/>
                <w:color w:val="1A2B33"/>
                <w:sz w:val="18"/>
              </w:rPr>
              <w:t>Depende de mediciones</w:t>
            </w:r>
          </w:p>
        </w:tc>
      </w:tr>
      <w:tr>
        <w:tc>
          <w:tcPr>
            <w:tcW w:type="dxa" w:w="3000"/>
          </w:tcPr>
          <w:p>
            <w:pPr>
              <w:spacing w:before="20" w:after="20"/>
            </w:pPr>
            <w:r>
              <w:rPr>
                <w:rFonts w:ascii="Calibri" w:hAnsi="Calibri"/>
                <w:b w:val="0"/>
                <w:i w:val="0"/>
                <w:color w:val="1A2B33"/>
                <w:sz w:val="18"/>
              </w:rPr>
              <w:t>Clasificación orientadora</w:t>
            </w:r>
          </w:p>
        </w:tc>
        <w:tc>
          <w:tcPr>
            <w:tcW w:type="dxa" w:w="1700"/>
          </w:tcPr>
          <w:p>
            <w:pPr>
              <w:spacing w:before="20" w:after="20"/>
            </w:pPr>
            <w:r>
              <w:rPr>
                <w:rFonts w:ascii="Calibri" w:hAnsi="Calibri"/>
                <w:b w:val="0"/>
                <w:i w:val="0"/>
                <w:color w:val="1A2B33"/>
                <w:sz w:val="18"/>
              </w:rPr>
              <w:t>INTERPRETACIÓN</w:t>
            </w:r>
          </w:p>
        </w:tc>
        <w:tc>
          <w:tcPr>
            <w:tcW w:type="dxa" w:w="1560"/>
          </w:tcPr>
          <w:p>
            <w:pPr>
              <w:spacing w:before="20" w:after="20"/>
            </w:pPr>
            <w:r>
              <w:rPr>
                <w:rFonts w:ascii="Calibri" w:hAnsi="Calibri"/>
                <w:b w:val="0"/>
                <w:i w:val="0"/>
                <w:color w:val="1A2B33"/>
                <w:sz w:val="18"/>
              </w:rPr>
              <w:t>categoría</w:t>
            </w:r>
          </w:p>
        </w:tc>
        <w:tc>
          <w:tcPr>
            <w:tcW w:type="dxa" w:w="3100"/>
          </w:tcPr>
          <w:p>
            <w:pPr>
              <w:spacing w:before="20" w:after="20"/>
            </w:pPr>
            <w:r>
              <w:rPr>
                <w:rFonts w:ascii="Calibri" w:hAnsi="Calibri"/>
                <w:b w:val="0"/>
                <w:i w:val="0"/>
                <w:color w:val="1A2B33"/>
                <w:sz w:val="18"/>
              </w:rPr>
              <w:t>Depende de población</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593"/>
        <w:gridCol w:w="593"/>
        <w:gridCol w:w="593"/>
        <w:gridCol w:w="593"/>
        <w:gridCol w:w="593"/>
        <w:gridCol w:w="593"/>
        <w:gridCol w:w="593"/>
        <w:gridCol w:w="593"/>
        <w:gridCol w:w="593"/>
        <w:gridCol w:w="593"/>
        <w:gridCol w:w="593"/>
        <w:gridCol w:w="593"/>
        <w:gridCol w:w="593"/>
        <w:gridCol w:w="593"/>
        <w:gridCol w:w="593"/>
        <w:gridCol w:w="593"/>
        <w:gridCol w:w="593"/>
      </w:tblGrid>
      <w:tr>
        <w:tc>
          <w:tcPr>
            <w:tcW w:type="dxa" w:w="593"/>
            <w:shd w:val="clear" w:color="auto" w:fill="EDF2F1"/>
          </w:tcPr>
          <w:p>
            <w:pPr>
              <w:spacing w:before="20" w:after="20"/>
              <w:jc w:val="center"/>
            </w:pPr>
            <w:r>
              <w:rPr>
                <w:rFonts w:ascii="Calibri" w:hAnsi="Calibri"/>
                <w:b/>
                <w:i w:val="0"/>
                <w:color w:val="0A3E3A"/>
                <w:sz w:val="15"/>
              </w:rPr>
              <w:t>INICIO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IDENTIFICACION</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RECORDATORIO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MEDICIONES</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COMPOSICION</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SOMATOTIPO</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(EVAL_ADULTO/MAYOR/HOSPITAL/DEPORTIVA)</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RESULTADOS</w:t>
            </w:r>
          </w:p>
        </w:tc>
        <w:tc>
          <w:tcPr>
            <w:tcW w:type="dxa" w:w="593"/>
          </w:tcPr>
          <w:p>
            <w:pPr>
              <w:spacing w:before="20" w:after="20"/>
              <w:jc w:val="center"/>
            </w:pPr>
            <w:r>
              <w:rPr>
                <w:rFonts w:ascii="Calibri" w:hAnsi="Calibri"/>
                <w:b/>
                <w:i w:val="0"/>
                <w:color w:val="C08A2B"/>
                <w:sz w:val="18"/>
              </w:rPr>
              <w:t>→</w:t>
            </w:r>
          </w:p>
        </w:tc>
        <w:tc>
          <w:tcPr>
            <w:tcW w:type="dxa" w:w="593"/>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MEDICIONES</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RESULTADOS</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MANUAL_USO</w:t>
            </w:r>
          </w:p>
        </w:tc>
        <w:tc>
          <w:tcPr>
            <w:tcW w:type="dxa" w:w="5760"/>
            <w:shd w:val="clear" w:color="auto" w:fill="F6F8F8"/>
          </w:tcPr>
          <w:p>
            <w:pPr>
              <w:spacing w:before="20" w:after="20"/>
            </w:pPr>
            <w:r>
              <w:rPr>
                <w:rFonts w:ascii="Calibri" w:hAnsi="Calibri"/>
                <w:b w:val="0"/>
                <w:i w:val="0"/>
                <w:color w:val="1A2B33"/>
                <w:sz w:val="18"/>
              </w:rPr>
              <w:t>MANUAL</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33 hojas (25 visibles y 8 ocultas o auxiliares). Incorpora aproximadamente 887 fórmulas, 2 gráficos, 2 tablas estructuradas y 48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Persona ficticia adulta evaluada (usar código).</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registran ingesta y mediciones antropométricas.</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libro calcula composición y somatotipo y clasifica por población.</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La síntesis integrada se interpreta profesionalmente.</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ECUACIÓN</w:t>
            </w:r>
          </w:p>
        </w:tc>
        <w:tc>
          <w:tcPr>
            <w:tcW w:type="dxa" w:w="2600"/>
          </w:tcPr>
          <w:p>
            <w:pPr>
              <w:spacing w:before="20" w:after="20"/>
            </w:pPr>
            <w:r>
              <w:rPr>
                <w:rFonts w:ascii="Calibri" w:hAnsi="Calibri"/>
                <w:b w:val="0"/>
                <w:i w:val="0"/>
                <w:color w:val="1A2B33"/>
                <w:sz w:val="18"/>
              </w:rPr>
              <w:t>Heath–Carter (somatotipo) y densidad/grasa</w:t>
            </w:r>
          </w:p>
        </w:tc>
        <w:tc>
          <w:tcPr>
            <w:tcW w:type="dxa" w:w="1500"/>
          </w:tcPr>
          <w:p>
            <w:pPr>
              <w:spacing w:before="20" w:after="20"/>
            </w:pPr>
            <w:r>
              <w:rPr>
                <w:rFonts w:ascii="Calibri" w:hAnsi="Calibri"/>
                <w:b w:val="0"/>
                <w:i w:val="0"/>
                <w:color w:val="1A2B33"/>
                <w:sz w:val="18"/>
              </w:rPr>
              <w:t>Adultos</w:t>
            </w:r>
          </w:p>
        </w:tc>
        <w:tc>
          <w:tcPr>
            <w:tcW w:type="dxa" w:w="1760"/>
          </w:tcPr>
          <w:p>
            <w:pPr>
              <w:spacing w:before="20" w:after="20"/>
            </w:pPr>
            <w:r>
              <w:rPr>
                <w:rFonts w:ascii="Calibri" w:hAnsi="Calibri"/>
                <w:b w:val="0"/>
                <w:i w:val="0"/>
                <w:color w:val="1A2B33"/>
                <w:sz w:val="18"/>
              </w:rPr>
              <w:t>Composición y forma</w:t>
            </w:r>
          </w:p>
        </w:tc>
        <w:tc>
          <w:tcPr>
            <w:tcW w:type="dxa" w:w="2000"/>
          </w:tcPr>
          <w:p>
            <w:pPr>
              <w:spacing w:before="20" w:after="20"/>
            </w:pPr>
            <w:r>
              <w:rPr>
                <w:rFonts w:ascii="Calibri" w:hAnsi="Calibri"/>
                <w:b w:val="0"/>
                <w:i w:val="0"/>
                <w:color w:val="1A2B33"/>
                <w:sz w:val="18"/>
              </w:rPr>
              <w:t>Requiere técnica válida</w:t>
            </w:r>
          </w:p>
        </w:tc>
      </w:tr>
      <w:tr>
        <w:tc>
          <w:tcPr>
            <w:tcW w:type="dxa" w:w="1500"/>
            <w:shd w:val="clear" w:color="auto" w:fill="F6F8F8"/>
          </w:tcPr>
          <w:p>
            <w:pPr>
              <w:spacing w:before="20" w:after="20"/>
            </w:pPr>
            <w:r>
              <w:rPr>
                <w:rFonts w:ascii="Calibri" w:hAnsi="Calibri"/>
                <w:b w:val="0"/>
                <w:i w:val="0"/>
                <w:color w:val="1A2B33"/>
                <w:sz w:val="18"/>
              </w:rPr>
              <w:t>REGLA DE IMPLEMENTACIÓN</w:t>
            </w:r>
          </w:p>
        </w:tc>
        <w:tc>
          <w:tcPr>
            <w:tcW w:type="dxa" w:w="2600"/>
            <w:shd w:val="clear" w:color="auto" w:fill="F6F8F8"/>
          </w:tcPr>
          <w:p>
            <w:pPr>
              <w:spacing w:before="20" w:after="20"/>
            </w:pPr>
            <w:r>
              <w:rPr>
                <w:rFonts w:ascii="Calibri" w:hAnsi="Calibri"/>
                <w:b w:val="0"/>
                <w:i w:val="0"/>
                <w:color w:val="1A2B33"/>
                <w:sz w:val="18"/>
              </w:rPr>
              <w:t>Referencia Frisancho y TEM</w:t>
            </w:r>
          </w:p>
        </w:tc>
        <w:tc>
          <w:tcPr>
            <w:tcW w:type="dxa" w:w="1500"/>
            <w:shd w:val="clear" w:color="auto" w:fill="F6F8F8"/>
          </w:tcPr>
          <w:p>
            <w:pPr>
              <w:spacing w:before="20" w:after="20"/>
            </w:pPr>
            <w:r>
              <w:rPr>
                <w:rFonts w:ascii="Calibri" w:hAnsi="Calibri"/>
                <w:b w:val="0"/>
                <w:i w:val="0"/>
                <w:color w:val="1A2B33"/>
                <w:sz w:val="18"/>
              </w:rPr>
              <w:t>Adulto/mayor/deporte</w:t>
            </w:r>
          </w:p>
        </w:tc>
        <w:tc>
          <w:tcPr>
            <w:tcW w:type="dxa" w:w="1760"/>
            <w:shd w:val="clear" w:color="auto" w:fill="F6F8F8"/>
          </w:tcPr>
          <w:p>
            <w:pPr>
              <w:spacing w:before="20" w:after="20"/>
            </w:pPr>
            <w:r>
              <w:rPr>
                <w:rFonts w:ascii="Calibri" w:hAnsi="Calibri"/>
                <w:b w:val="0"/>
                <w:i w:val="0"/>
                <w:color w:val="1A2B33"/>
                <w:sz w:val="18"/>
              </w:rPr>
              <w:t>Referencia y fiabilidad</w:t>
            </w:r>
          </w:p>
        </w:tc>
        <w:tc>
          <w:tcPr>
            <w:tcW w:type="dxa" w:w="2000"/>
            <w:shd w:val="clear" w:color="auto" w:fill="F6F8F8"/>
          </w:tcPr>
          <w:p>
            <w:pPr>
              <w:spacing w:before="20" w:after="20"/>
            </w:pPr>
            <w:r>
              <w:rPr>
                <w:rFonts w:ascii="Calibri" w:hAnsi="Calibri"/>
                <w:b w:val="0"/>
                <w:i w:val="0"/>
                <w:color w:val="1A2B33"/>
                <w:sz w:val="18"/>
              </w:rPr>
              <w:t>Clasificación orientadora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Frisancho</w:t>
            </w:r>
          </w:p>
        </w:tc>
        <w:tc>
          <w:tcPr>
            <w:tcW w:type="dxa" w:w="2600"/>
          </w:tcPr>
          <w:p>
            <w:pPr>
              <w:spacing w:before="20" w:after="20"/>
            </w:pPr>
            <w:r>
              <w:rPr>
                <w:rFonts w:ascii="Calibri" w:hAnsi="Calibri"/>
                <w:b w:val="0"/>
                <w:i w:val="0"/>
                <w:color w:val="1A2B33"/>
                <w:sz w:val="17"/>
              </w:rPr>
              <w:t>Reference data / arquitectura de referencia</w:t>
            </w:r>
          </w:p>
        </w:tc>
        <w:tc>
          <w:tcPr>
            <w:tcW w:type="dxa" w:w="700"/>
          </w:tcPr>
          <w:p>
            <w:pPr>
              <w:spacing w:before="20" w:after="20"/>
            </w:pPr>
            <w:r>
              <w:rPr>
                <w:rFonts w:ascii="Calibri" w:hAnsi="Calibri"/>
                <w:b w:val="0"/>
                <w:i w:val="0"/>
                <w:color w:val="1A2B33"/>
                <w:sz w:val="17"/>
              </w:rPr>
              <w:t>s/f</w:t>
            </w:r>
          </w:p>
        </w:tc>
        <w:tc>
          <w:tcPr>
            <w:tcW w:type="dxa" w:w="2160"/>
          </w:tcPr>
          <w:p>
            <w:pPr>
              <w:spacing w:before="20" w:after="20"/>
            </w:pPr>
            <w:r>
              <w:rPr>
                <w:rFonts w:ascii="Calibri" w:hAnsi="Calibri"/>
                <w:b w:val="0"/>
                <w:i w:val="0"/>
                <w:color w:val="1A2B33"/>
                <w:sz w:val="17"/>
              </w:rPr>
              <w:t>Referencia antropométrica</w:t>
            </w:r>
          </w:p>
        </w:tc>
        <w:tc>
          <w:tcPr>
            <w:tcW w:type="dxa" w:w="1700"/>
          </w:tcPr>
          <w:p>
            <w:pPr>
              <w:spacing w:before="20" w:after="20"/>
            </w:pPr>
            <w:r>
              <w:rPr>
                <w:rFonts w:ascii="Calibri" w:hAnsi="Calibri"/>
                <w:b w:val="0"/>
                <w:i w:val="0"/>
                <w:color w:val="1A2B33"/>
                <w:sz w:val="17"/>
              </w:rPr>
              <w:t>FUENTE_PRIMARIA</w:t>
            </w:r>
          </w:p>
        </w:tc>
      </w:tr>
      <w:tr>
        <w:tc>
          <w:tcPr>
            <w:tcW w:type="dxa" w:w="2200"/>
            <w:shd w:val="clear" w:color="auto" w:fill="F6F8F8"/>
          </w:tcPr>
          <w:p>
            <w:pPr>
              <w:spacing w:before="20" w:after="20"/>
            </w:pPr>
            <w:r>
              <w:rPr>
                <w:rFonts w:ascii="Calibri" w:hAnsi="Calibri"/>
                <w:b w:val="0"/>
                <w:i w:val="0"/>
                <w:color w:val="1A2B33"/>
                <w:sz w:val="17"/>
              </w:rPr>
              <w:t>INTA, Universidad de Chile</w:t>
            </w:r>
          </w:p>
        </w:tc>
        <w:tc>
          <w:tcPr>
            <w:tcW w:type="dxa" w:w="2600"/>
            <w:shd w:val="clear" w:color="auto" w:fill="F6F8F8"/>
          </w:tcPr>
          <w:p>
            <w:pPr>
              <w:spacing w:before="20" w:after="20"/>
            </w:pPr>
            <w:r>
              <w:rPr>
                <w:rFonts w:ascii="Calibri" w:hAnsi="Calibri"/>
                <w:b w:val="0"/>
                <w:i w:val="0"/>
                <w:color w:val="1A2B33"/>
                <w:sz w:val="17"/>
              </w:rPr>
              <w:t>Tabla de Composición de Alimentos</w:t>
            </w:r>
          </w:p>
        </w:tc>
        <w:tc>
          <w:tcPr>
            <w:tcW w:type="dxa" w:w="700"/>
            <w:shd w:val="clear" w:color="auto" w:fill="F6F8F8"/>
          </w:tcPr>
          <w:p>
            <w:pPr>
              <w:spacing w:before="20" w:after="20"/>
            </w:pPr>
            <w:r>
              <w:rPr>
                <w:rFonts w:ascii="Calibri" w:hAnsi="Calibri"/>
                <w:b w:val="0"/>
                <w:i w:val="0"/>
                <w:color w:val="1A2B33"/>
                <w:sz w:val="17"/>
              </w:rPr>
              <w:t>2018</w:t>
            </w:r>
          </w:p>
        </w:tc>
        <w:tc>
          <w:tcPr>
            <w:tcW w:type="dxa" w:w="2160"/>
            <w:shd w:val="clear" w:color="auto" w:fill="F6F8F8"/>
          </w:tcPr>
          <w:p>
            <w:pPr>
              <w:spacing w:before="20" w:after="20"/>
            </w:pPr>
            <w:r>
              <w:rPr>
                <w:rFonts w:ascii="Calibri" w:hAnsi="Calibri"/>
                <w:b w:val="0"/>
                <w:i w:val="0"/>
                <w:color w:val="1A2B33"/>
                <w:sz w:val="17"/>
              </w:rPr>
              <w:t>Recordatorio</w:t>
            </w:r>
          </w:p>
        </w:tc>
        <w:tc>
          <w:tcPr>
            <w:tcW w:type="dxa" w:w="1700"/>
            <w:shd w:val="clear" w:color="auto" w:fill="F6F8F8"/>
          </w:tcPr>
          <w:p>
            <w:pPr>
              <w:spacing w:before="20" w:after="20"/>
            </w:pPr>
            <w:r>
              <w:rPr>
                <w:rFonts w:ascii="Calibri" w:hAnsi="Calibri"/>
                <w:b w:val="0"/>
                <w:i w:val="0"/>
                <w:color w:val="1A2B33"/>
                <w:sz w:val="17"/>
              </w:rPr>
              <w:t>FUENTE_PRIMARIA</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'100% académico' significa requisitos implementados/probados dentro del alcance, no validación clínica universal. No realiza diagnóstico. La interpretación final corresponde al profesional o docente.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clínico profesional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reemplaza el juicio profesional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utilizar como único criterio diagnóstico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NMX-16 · Calculadora de Somatotipo y Somatocarta (Heath–Carter)</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NMX-36 · Calculadora Especializada de Plicometría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NMX-12 · Calculadora de Grasa y Composición Corporal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NMX-03 · Historia Clínica Nutricional Completa (Integración UDD)</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NMX-08 · Historia Clínica de Nutrición Deportiva</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NMX-20</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NMX-20_QA_REAL_CORREGIDO_v3_0_1_COMERCIAL_PRE_P19_REPARADO_PRE_P19.xlsx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v3.0.1</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NMX-20 · Formulario Integral de Evaluación (Adulto, Persona Mayor, Hospital, Deporte, TEM, Frisancho)</w:t>
            </w:r>
          </w:p>
          <w:p>
            <w:pPr>
              <w:spacing w:before="80" w:after="0"/>
              <w:jc w:val="center"/>
            </w:pPr>
            <w:r>
              <w:rPr>
                <w:rFonts w:ascii="Calibri" w:hAnsi="Calibri"/>
                <w:b w:val="0"/>
                <w:i w:val="0"/>
                <w:color w:val="EDF2F1"/>
                <w:sz w:val="20"/>
              </w:rPr>
              <w:t>Fase 5 · Clínica · v3.0.1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NMX-20 · Formulario Integral de Evaluación (Adulto, Per</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