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NMX-22</w:t>
      </w:r>
    </w:p>
    <w:p>
      <w:pPr>
        <w:spacing w:before="0" w:after="160" w:line="252" w:lineRule="auto"/>
      </w:pPr>
      <w:r>
        <w:rPr>
          <w:rFonts w:ascii="Calibri" w:hAnsi="Calibri"/>
          <w:b/>
          <w:i w:val="0"/>
          <w:color w:val="1A2B33"/>
          <w:sz w:val="38"/>
        </w:rPr>
        <w:t>Registro Nutricional para Enfermedad Renal</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3 · Evaluación y Registro</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Registro dietético renal</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(declarado). Incluye hojas internas ocultas (CALCULOS, VALIDACION_RENAL).</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NMX-22_KDOQI_KDIGO(2)_COMERCIAL_PRE_P19_REPARADO_PRE_P19.xlsx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NMX-22 · Registro Nutricional para Enfermedad Renal</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3 · Evaluación y Registro</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Registro dietético renal</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clínico profesional)</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ingesta con enfoque renal y evaluar cobertura y reportes, con trazabilidad y matriz renal específicas.</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Alimentación: Registro alimentario; Clínica: Parámetros/metas renales (CONFIG)</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Reporte de cobertura; Matriz renal</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clínico profesional</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(declarado). Incluye hojas internas ocultas (CALCULOS, VALIDACION_RENAL).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NMX-22 es un registro nutricional orientado a la enfermedad renal. Sobre la base INTA 2018 evalúa la cobertura de nutrientes con relevancia renal y genera reportes, apoyándose en hojas específicas de trazabilidad y matriz renal. Comparte estructura con NMX-29 (recordatorio 24 h renal) dentro de la Fase 3, con una orientación clínica de apoyo.</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Registrar la ingesta con enfoque renal y evaluar cobertura y reportes, con trazabilidad y matriz renal específicas.</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Ingresar el registro alimentario con enfoque renal.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Revisar cobertura y reportes de nutrientes críticos.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Consultar la trazabilidad y la matriz renal.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clínico profesional)</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Enfoque renal; base INTA 2018 con cobertura crítica para uso renal.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Registro renal</w:t>
            </w:r>
          </w:p>
        </w:tc>
        <w:tc>
          <w:tcPr>
            <w:tcW w:type="dxa" w:w="2500"/>
          </w:tcPr>
          <w:p>
            <w:pPr>
              <w:spacing w:before="20" w:after="20"/>
            </w:pPr>
            <w:r>
              <w:rPr>
                <w:rFonts w:ascii="Calibri" w:hAnsi="Calibri"/>
                <w:b w:val="0"/>
                <w:i w:val="0"/>
                <w:color w:val="1A2B33"/>
                <w:sz w:val="18"/>
              </w:rPr>
              <w:t>Captura la ingesta con enfoque renal</w:t>
            </w:r>
          </w:p>
        </w:tc>
        <w:tc>
          <w:tcPr>
            <w:tcW w:type="dxa" w:w="2000"/>
          </w:tcPr>
          <w:p>
            <w:pPr>
              <w:spacing w:before="20" w:after="20"/>
            </w:pPr>
            <w:r>
              <w:rPr>
                <w:rFonts w:ascii="Calibri" w:hAnsi="Calibri"/>
                <w:b w:val="0"/>
                <w:i w:val="0"/>
                <w:color w:val="1A2B33"/>
                <w:sz w:val="18"/>
              </w:rPr>
              <w:t>Alimentos y cantidades</w:t>
            </w:r>
          </w:p>
        </w:tc>
        <w:tc>
          <w:tcPr>
            <w:tcW w:type="dxa" w:w="2160"/>
          </w:tcPr>
          <w:p>
            <w:pPr>
              <w:spacing w:before="20" w:after="20"/>
            </w:pPr>
            <w:r>
              <w:rPr>
                <w:rFonts w:ascii="Calibri" w:hAnsi="Calibri"/>
                <w:b w:val="0"/>
                <w:i w:val="0"/>
                <w:color w:val="1A2B33"/>
                <w:sz w:val="18"/>
              </w:rPr>
              <w:t>Registro renal</w:t>
            </w:r>
          </w:p>
        </w:tc>
        <w:tc>
          <w:tcPr>
            <w:tcW w:type="dxa" w:w="1200"/>
          </w:tcPr>
          <w:p>
            <w:pPr>
              <w:spacing w:before="20" w:after="20"/>
            </w:pPr>
            <w:r>
              <w:rPr>
                <w:rFonts w:ascii="Calibri" w:hAnsi="Calibri"/>
                <w:b w:val="0"/>
                <w:i w:val="0"/>
                <w:color w:val="1A2B33"/>
                <w:sz w:val="18"/>
              </w:rPr>
              <w:t>Intermedio</w:t>
            </w:r>
          </w:p>
        </w:tc>
      </w:tr>
      <w:tr>
        <w:tc>
          <w:tcPr>
            <w:tcW w:type="dxa" w:w="1500"/>
            <w:shd w:val="clear" w:color="auto" w:fill="F6F8F8"/>
          </w:tcPr>
          <w:p>
            <w:pPr>
              <w:spacing w:before="20" w:after="20"/>
            </w:pPr>
            <w:r>
              <w:rPr>
                <w:rFonts w:ascii="Calibri" w:hAnsi="Calibri"/>
                <w:b w:val="0"/>
                <w:i w:val="0"/>
                <w:color w:val="1A2B33"/>
                <w:sz w:val="18"/>
              </w:rPr>
              <w:t>Cobertura y reportes</w:t>
            </w:r>
          </w:p>
        </w:tc>
        <w:tc>
          <w:tcPr>
            <w:tcW w:type="dxa" w:w="2500"/>
            <w:shd w:val="clear" w:color="auto" w:fill="F6F8F8"/>
          </w:tcPr>
          <w:p>
            <w:pPr>
              <w:spacing w:before="20" w:after="20"/>
            </w:pPr>
            <w:r>
              <w:rPr>
                <w:rFonts w:ascii="Calibri" w:hAnsi="Calibri"/>
                <w:b w:val="0"/>
                <w:i w:val="0"/>
                <w:color w:val="1A2B33"/>
                <w:sz w:val="18"/>
              </w:rPr>
              <w:t>Evalúa nutrientes críticos renales</w:t>
            </w:r>
          </w:p>
        </w:tc>
        <w:tc>
          <w:tcPr>
            <w:tcW w:type="dxa" w:w="2000"/>
            <w:shd w:val="clear" w:color="auto" w:fill="F6F8F8"/>
          </w:tcPr>
          <w:p>
            <w:pPr>
              <w:spacing w:before="20" w:after="20"/>
            </w:pPr>
            <w:r>
              <w:rPr>
                <w:rFonts w:ascii="Calibri" w:hAnsi="Calibri"/>
                <w:b w:val="0"/>
                <w:i w:val="0"/>
                <w:color w:val="1A2B33"/>
                <w:sz w:val="18"/>
              </w:rPr>
              <w:t>Registro</w:t>
            </w:r>
          </w:p>
        </w:tc>
        <w:tc>
          <w:tcPr>
            <w:tcW w:type="dxa" w:w="2160"/>
            <w:shd w:val="clear" w:color="auto" w:fill="F6F8F8"/>
          </w:tcPr>
          <w:p>
            <w:pPr>
              <w:spacing w:before="20" w:after="20"/>
            </w:pPr>
            <w:r>
              <w:rPr>
                <w:rFonts w:ascii="Calibri" w:hAnsi="Calibri"/>
                <w:b w:val="0"/>
                <w:i w:val="0"/>
                <w:color w:val="1A2B33"/>
                <w:sz w:val="18"/>
              </w:rPr>
              <w:t>Reporte de cobertura</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Matriz renal</w:t>
            </w:r>
          </w:p>
        </w:tc>
        <w:tc>
          <w:tcPr>
            <w:tcW w:type="dxa" w:w="2500"/>
          </w:tcPr>
          <w:p>
            <w:pPr>
              <w:spacing w:before="20" w:after="20"/>
            </w:pPr>
            <w:r>
              <w:rPr>
                <w:rFonts w:ascii="Calibri" w:hAnsi="Calibri"/>
                <w:b w:val="0"/>
                <w:i w:val="0"/>
                <w:color w:val="1A2B33"/>
                <w:sz w:val="18"/>
              </w:rPr>
              <w:t>Clasifica alimentos según relevancia renal</w:t>
            </w:r>
          </w:p>
        </w:tc>
        <w:tc>
          <w:tcPr>
            <w:tcW w:type="dxa" w:w="2000"/>
          </w:tcPr>
          <w:p>
            <w:pPr>
              <w:spacing w:before="20" w:after="20"/>
            </w:pPr>
            <w:r>
              <w:rPr>
                <w:rFonts w:ascii="Calibri" w:hAnsi="Calibri"/>
                <w:b w:val="0"/>
                <w:i w:val="0"/>
                <w:color w:val="1A2B33"/>
                <w:sz w:val="18"/>
              </w:rPr>
              <w:t>Base INTA</w:t>
            </w:r>
          </w:p>
        </w:tc>
        <w:tc>
          <w:tcPr>
            <w:tcW w:type="dxa" w:w="2160"/>
          </w:tcPr>
          <w:p>
            <w:pPr>
              <w:spacing w:before="20" w:after="20"/>
            </w:pPr>
            <w:r>
              <w:rPr>
                <w:rFonts w:ascii="Calibri" w:hAnsi="Calibri"/>
                <w:b w:val="0"/>
                <w:i w:val="0"/>
                <w:color w:val="1A2B33"/>
                <w:sz w:val="18"/>
              </w:rPr>
              <w:t>Matriz renal</w:t>
            </w:r>
          </w:p>
        </w:tc>
        <w:tc>
          <w:tcPr>
            <w:tcW w:type="dxa" w:w="1200"/>
          </w:tcPr>
          <w:p>
            <w:pPr>
              <w:spacing w:before="20" w:after="20"/>
            </w:pPr>
            <w:r>
              <w:rPr>
                <w:rFonts w:ascii="Calibri" w:hAnsi="Calibri"/>
                <w:b w:val="0"/>
                <w:i w:val="0"/>
                <w:color w:val="1A2B33"/>
                <w:sz w:val="18"/>
              </w:rPr>
              <w:t>Avanzado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Registro alimentario</w:t>
      </w:r>
    </w:p>
    <w:p>
      <w:pPr>
        <w:spacing w:before="60" w:after="20" w:line="276" w:lineRule="auto"/>
      </w:pPr>
      <w:r>
        <w:rPr>
          <w:rFonts w:ascii="Calibri" w:hAnsi="Calibri"/>
          <w:b/>
          <w:i w:val="0"/>
          <w:color w:val="0A3E3A"/>
          <w:sz w:val="20"/>
        </w:rPr>
        <w:t>Clínica</w:t>
      </w:r>
    </w:p>
    <w:p>
      <w:pPr>
        <w:spacing w:before="40" w:after="60" w:line="276" w:lineRule="auto"/>
      </w:pPr>
      <w:r>
        <w:rPr>
          <w:rFonts w:ascii="Calibri" w:hAnsi="Calibri"/>
          <w:b w:val="0"/>
          <w:i w:val="0"/>
          <w:color w:val="1A2B33"/>
          <w:sz w:val="19"/>
        </w:rPr>
        <w:t>Parámetros/metas renales (CONFIG)</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Reporte de cobertura</w:t>
            </w:r>
          </w:p>
        </w:tc>
        <w:tc>
          <w:tcPr>
            <w:tcW w:type="dxa" w:w="1700"/>
          </w:tcPr>
          <w:p>
            <w:pPr>
              <w:spacing w:before="20" w:after="20"/>
            </w:pPr>
            <w:r>
              <w:rPr>
                <w:rFonts w:ascii="Calibri" w:hAnsi="Calibri"/>
                <w:b w:val="0"/>
                <w:i w:val="0"/>
                <w:color w:val="1A2B33"/>
                <w:sz w:val="18"/>
              </w:rPr>
              <w:t>INFORME</w:t>
            </w:r>
          </w:p>
        </w:tc>
        <w:tc>
          <w:tcPr>
            <w:tcW w:type="dxa" w:w="1560"/>
          </w:tcPr>
          <w:p>
            <w:pPr>
              <w:spacing w:before="20" w:after="20"/>
            </w:pPr>
            <w:r>
              <w:rPr>
                <w:rFonts w:ascii="Calibri" w:hAnsi="Calibri"/>
                <w:b w:val="0"/>
                <w:i w:val="0"/>
                <w:color w:val="1A2B33"/>
                <w:sz w:val="18"/>
              </w:rPr>
              <w:t>por nutriente</w:t>
            </w:r>
          </w:p>
        </w:tc>
        <w:tc>
          <w:tcPr>
            <w:tcW w:type="dxa" w:w="3100"/>
          </w:tcPr>
          <w:p>
            <w:pPr>
              <w:spacing w:before="20" w:after="20"/>
            </w:pPr>
            <w:r>
              <w:rPr>
                <w:rFonts w:ascii="Calibri" w:hAnsi="Calibri"/>
                <w:b w:val="0"/>
                <w:i w:val="0"/>
                <w:color w:val="1A2B33"/>
                <w:sz w:val="18"/>
              </w:rPr>
              <w:t>Depende del registro</w:t>
            </w:r>
          </w:p>
        </w:tc>
      </w:tr>
      <w:tr>
        <w:tc>
          <w:tcPr>
            <w:tcW w:type="dxa" w:w="3000"/>
            <w:shd w:val="clear" w:color="auto" w:fill="F6F8F8"/>
          </w:tcPr>
          <w:p>
            <w:pPr>
              <w:spacing w:before="20" w:after="20"/>
            </w:pPr>
            <w:r>
              <w:rPr>
                <w:rFonts w:ascii="Calibri" w:hAnsi="Calibri"/>
                <w:b w:val="0"/>
                <w:i w:val="0"/>
                <w:color w:val="1A2B33"/>
                <w:sz w:val="18"/>
              </w:rPr>
              <w:t>Matriz renal</w:t>
            </w:r>
          </w:p>
        </w:tc>
        <w:tc>
          <w:tcPr>
            <w:tcW w:type="dxa" w:w="1700"/>
            <w:shd w:val="clear" w:color="auto" w:fill="F6F8F8"/>
          </w:tcPr>
          <w:p>
            <w:pPr>
              <w:spacing w:before="20" w:after="20"/>
            </w:pPr>
            <w:r>
              <w:rPr>
                <w:rFonts w:ascii="Calibri" w:hAnsi="Calibri"/>
                <w:b w:val="0"/>
                <w:i w:val="0"/>
                <w:color w:val="1A2B33"/>
                <w:sz w:val="18"/>
              </w:rPr>
              <w:t>REGISTRO</w:t>
            </w:r>
          </w:p>
        </w:tc>
        <w:tc>
          <w:tcPr>
            <w:tcW w:type="dxa" w:w="1560"/>
            <w:shd w:val="clear" w:color="auto" w:fill="F6F8F8"/>
          </w:tcPr>
          <w:p>
            <w:pPr>
              <w:spacing w:before="20" w:after="20"/>
            </w:pPr>
            <w:r>
              <w:rPr>
                <w:rFonts w:ascii="Calibri" w:hAnsi="Calibri"/>
                <w:b w:val="0"/>
                <w:i w:val="0"/>
                <w:color w:val="1A2B33"/>
                <w:sz w:val="18"/>
              </w:rPr>
              <w:t>clasificación</w:t>
            </w:r>
          </w:p>
        </w:tc>
        <w:tc>
          <w:tcPr>
            <w:tcW w:type="dxa" w:w="3100"/>
            <w:shd w:val="clear" w:color="auto" w:fill="F6F8F8"/>
          </w:tcPr>
          <w:p>
            <w:pPr>
              <w:spacing w:before="20" w:after="20"/>
            </w:pPr>
            <w:r>
              <w:rPr>
                <w:rFonts w:ascii="Calibri" w:hAnsi="Calibri"/>
                <w:b w:val="0"/>
                <w:i w:val="0"/>
                <w:color w:val="1A2B33"/>
                <w:sz w:val="18"/>
              </w:rPr>
              <w:t>Depende de la base</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776"/>
        <w:gridCol w:w="776"/>
        <w:gridCol w:w="776"/>
        <w:gridCol w:w="776"/>
        <w:gridCol w:w="776"/>
        <w:gridCol w:w="776"/>
        <w:gridCol w:w="776"/>
        <w:gridCol w:w="776"/>
        <w:gridCol w:w="776"/>
        <w:gridCol w:w="776"/>
        <w:gridCol w:w="776"/>
        <w:gridCol w:w="776"/>
        <w:gridCol w:w="776"/>
      </w:tblGrid>
      <w:tr>
        <w:tc>
          <w:tcPr>
            <w:tcW w:type="dxa" w:w="776"/>
            <w:shd w:val="clear" w:color="auto" w:fill="EDF2F1"/>
          </w:tcPr>
          <w:p>
            <w:pPr>
              <w:spacing w:before="20" w:after="20"/>
              <w:jc w:val="center"/>
            </w:pPr>
            <w:r>
              <w:rPr>
                <w:rFonts w:ascii="Calibri" w:hAnsi="Calibri"/>
                <w:b/>
                <w:i w:val="0"/>
                <w:color w:val="0A3E3A"/>
                <w:sz w:val="15"/>
              </w:rPr>
              <w:t>INICIO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DATOS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REGISTRO</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ALIMENTOS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RESULTADOS</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TRAZABILIDAD_RENAL/MATRIZ_RENAL</w:t>
            </w:r>
          </w:p>
        </w:tc>
        <w:tc>
          <w:tcPr>
            <w:tcW w:type="dxa" w:w="776"/>
          </w:tcPr>
          <w:p>
            <w:pPr>
              <w:spacing w:before="20" w:after="20"/>
              <w:jc w:val="center"/>
            </w:pPr>
            <w:r>
              <w:rPr>
                <w:rFonts w:ascii="Calibri" w:hAnsi="Calibri"/>
                <w:b/>
                <w:i w:val="0"/>
                <w:color w:val="C08A2B"/>
                <w:sz w:val="18"/>
              </w:rPr>
              <w:t>→</w:t>
            </w:r>
          </w:p>
        </w:tc>
        <w:tc>
          <w:tcPr>
            <w:tcW w:type="dxa" w:w="776"/>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REGISTRO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13 hojas (8 visibles y 5 ocultas o auxiliares). Incorpora aproximadamente 331 fórmulas, 2 gráficos, 0 tablas estructuradas y 13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Registro ficticio de ingesta en contexto renal.</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ingresa el registro alimentario.</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evalúa cobertura de nutrientes críticos y arma el reporte.</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El profesional interpreta la cobertura según la situación clínica.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Registro con enfoque renal y cobertura crítica</w:t>
            </w:r>
          </w:p>
        </w:tc>
        <w:tc>
          <w:tcPr>
            <w:tcW w:type="dxa" w:w="1500"/>
          </w:tcPr>
          <w:p>
            <w:pPr>
              <w:spacing w:before="20" w:after="20"/>
            </w:pPr>
            <w:r>
              <w:rPr>
                <w:rFonts w:ascii="Calibri" w:hAnsi="Calibri"/>
                <w:b w:val="0"/>
                <w:i w:val="0"/>
                <w:color w:val="1A2B33"/>
                <w:sz w:val="18"/>
              </w:rPr>
              <w:t>Renal</w:t>
            </w:r>
          </w:p>
        </w:tc>
        <w:tc>
          <w:tcPr>
            <w:tcW w:type="dxa" w:w="1760"/>
          </w:tcPr>
          <w:p>
            <w:pPr>
              <w:spacing w:before="20" w:after="20"/>
            </w:pPr>
            <w:r>
              <w:rPr>
                <w:rFonts w:ascii="Calibri" w:hAnsi="Calibri"/>
                <w:b w:val="0"/>
                <w:i w:val="0"/>
                <w:color w:val="1A2B33"/>
                <w:sz w:val="18"/>
              </w:rPr>
              <w:t>Reportes</w:t>
            </w:r>
          </w:p>
        </w:tc>
        <w:tc>
          <w:tcPr>
            <w:tcW w:type="dxa" w:w="2000"/>
          </w:tcPr>
          <w:p>
            <w:pPr>
              <w:spacing w:before="20" w:after="20"/>
            </w:pPr>
            <w:r>
              <w:rPr>
                <w:rFonts w:ascii="Calibri" w:hAnsi="Calibri"/>
                <w:b w:val="0"/>
                <w:i w:val="0"/>
                <w:color w:val="1A2B33"/>
                <w:sz w:val="18"/>
              </w:rPr>
              <w:t>Requiere interpretación profesional</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alimentaria</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Enfoque renal de apoyo; la interpretación clínica corresponde al profesional. La cobertura depende de la base INTA. No sustituye guías clínicas ni el juicio del equipo tratante.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clínico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utilizar como único criterio diagnóstico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NMX-29 · Recordatorio de 24 Horas Renal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NMX-42 · Explorador Renal de Alimentos y Equivalentes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NMX-22</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NMX-22_KDOQI_KDIGO(2)_COMERCIAL_PRE_P19_REPARADO_PRE_P19.xlsx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NMX-22 · Registro Nutricional para Enfermedad Renal</w:t>
            </w:r>
          </w:p>
          <w:p>
            <w:pPr>
              <w:spacing w:before="80" w:after="0"/>
              <w:jc w:val="center"/>
            </w:pPr>
            <w:r>
              <w:rPr>
                <w:rFonts w:ascii="Calibri" w:hAnsi="Calibri"/>
                <w:b w:val="0"/>
                <w:i w:val="0"/>
                <w:color w:val="EDF2F1"/>
                <w:sz w:val="20"/>
              </w:rPr>
              <w:t>Fase 3 · Evaluación y Registro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NMX-22 · Registro Nutricional para Enfermedad Renal</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