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NMX-24</w:t>
      </w:r>
    </w:p>
    <w:p>
      <w:pPr>
        <w:spacing w:before="0" w:after="160" w:line="252" w:lineRule="auto"/>
      </w:pPr>
      <w:r>
        <w:rPr>
          <w:rFonts w:ascii="Calibri" w:hAnsi="Calibri"/>
          <w:b/>
          <w:i w:val="0"/>
          <w:color w:val="1A2B33"/>
          <w:sz w:val="38"/>
        </w:rPr>
        <w:t>Seguimiento Mensual de Hábitos (Habit Tracker)</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3 · Evaluación y Registro</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Registro conductual</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NO_CONFIRMADO</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 Microsoft 365 (Windows) y Excel 2021 · sin funciones matriciales (declarado en INICIO).</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NMX-24_Habit_Tracker_Mensual_(5)_COMERCIAL_PRE_P19_REPARADO_PRE_P19.xlsx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NMX-24 · Seguimiento Mensual de Hábitos (Habit Tracker)</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3 · Evaluación y Registro</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Registro conductual</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Seguir hábitos a lo largo de un mes, analizar adherencia y patrones, con un tablero visual y evidencia sobre formación de hábitos.</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Datos personales: Persona y mes; Otros: Hábitos a seguir, Marcas diarias del calendario</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Adherencia; Patrones y tablero</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NO_CONFIRMADO</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 Microsoft 365 (Windows) y Excel 2021 · sin funciones matriciales (declarado en INICIO).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NMX-24 es un seguimiento mensual de hábitos: define qué se va a seguir, registra un calendario del mes y calcula adherencia y patrones en un tablero visual. Su base de evidencia es el estudio de Lally y cols. (European Journal of Social Psychology, 2010), que sitúa la mediana de automaticidad en 66 días (rango 18–254) y desmiente el 'mito de los 21 días'. Es una herramienta conductual de la Fase 3.</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Seguir hábitos a lo largo de un mes, analizar adherencia y patrones, con un tablero visual y evidencia sobre formación de hábitos.</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Definir persona, mes y hábitos a seguir.</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Registrar el calendario del mes.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Analizar adherencia y patrones en el tablero.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Uso educativo; base de evidencia Lally y cols. (2010).</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Definición de hábitos</w:t>
            </w:r>
          </w:p>
        </w:tc>
        <w:tc>
          <w:tcPr>
            <w:tcW w:type="dxa" w:w="2500"/>
          </w:tcPr>
          <w:p>
            <w:pPr>
              <w:spacing w:before="20" w:after="20"/>
            </w:pPr>
            <w:r>
              <w:rPr>
                <w:rFonts w:ascii="Calibri" w:hAnsi="Calibri"/>
                <w:b w:val="0"/>
                <w:i w:val="0"/>
                <w:color w:val="1A2B33"/>
                <w:sz w:val="18"/>
              </w:rPr>
              <w:t>Selecciona qué seguir</w:t>
            </w:r>
          </w:p>
        </w:tc>
        <w:tc>
          <w:tcPr>
            <w:tcW w:type="dxa" w:w="2000"/>
          </w:tcPr>
          <w:p>
            <w:pPr>
              <w:spacing w:before="20" w:after="20"/>
            </w:pPr>
            <w:r>
              <w:rPr>
                <w:rFonts w:ascii="Calibri" w:hAnsi="Calibri"/>
                <w:b w:val="0"/>
                <w:i w:val="0"/>
                <w:color w:val="1A2B33"/>
                <w:sz w:val="18"/>
              </w:rPr>
              <w:t>Persona, mes, hábitos</w:t>
            </w:r>
          </w:p>
        </w:tc>
        <w:tc>
          <w:tcPr>
            <w:tcW w:type="dxa" w:w="2160"/>
          </w:tcPr>
          <w:p>
            <w:pPr>
              <w:spacing w:before="20" w:after="20"/>
            </w:pPr>
            <w:r>
              <w:rPr>
                <w:rFonts w:ascii="Calibri" w:hAnsi="Calibri"/>
                <w:b w:val="0"/>
                <w:i w:val="0"/>
                <w:color w:val="1A2B33"/>
                <w:sz w:val="18"/>
              </w:rPr>
              <w:t>Plan de seguimiento</w:t>
            </w:r>
          </w:p>
        </w:tc>
        <w:tc>
          <w:tcPr>
            <w:tcW w:type="dxa" w:w="1200"/>
          </w:tcPr>
          <w:p>
            <w:pPr>
              <w:spacing w:before="20" w:after="20"/>
            </w:pPr>
            <w:r>
              <w:rPr>
                <w:rFonts w:ascii="Calibri" w:hAnsi="Calibri"/>
                <w:b w:val="0"/>
                <w:i w:val="0"/>
                <w:color w:val="1A2B33"/>
                <w:sz w:val="18"/>
              </w:rPr>
              <w:t>Básico</w:t>
            </w:r>
          </w:p>
        </w:tc>
      </w:tr>
      <w:tr>
        <w:tc>
          <w:tcPr>
            <w:tcW w:type="dxa" w:w="1500"/>
            <w:shd w:val="clear" w:color="auto" w:fill="F6F8F8"/>
          </w:tcPr>
          <w:p>
            <w:pPr>
              <w:spacing w:before="20" w:after="20"/>
            </w:pPr>
            <w:r>
              <w:rPr>
                <w:rFonts w:ascii="Calibri" w:hAnsi="Calibri"/>
                <w:b w:val="0"/>
                <w:i w:val="0"/>
                <w:color w:val="1A2B33"/>
                <w:sz w:val="18"/>
              </w:rPr>
              <w:t>Calendario mensual</w:t>
            </w:r>
          </w:p>
        </w:tc>
        <w:tc>
          <w:tcPr>
            <w:tcW w:type="dxa" w:w="2500"/>
            <w:shd w:val="clear" w:color="auto" w:fill="F6F8F8"/>
          </w:tcPr>
          <w:p>
            <w:pPr>
              <w:spacing w:before="20" w:after="20"/>
            </w:pPr>
            <w:r>
              <w:rPr>
                <w:rFonts w:ascii="Calibri" w:hAnsi="Calibri"/>
                <w:b w:val="0"/>
                <w:i w:val="0"/>
                <w:color w:val="1A2B33"/>
                <w:sz w:val="18"/>
              </w:rPr>
              <w:t>Registra el cumplimiento diario</w:t>
            </w:r>
          </w:p>
        </w:tc>
        <w:tc>
          <w:tcPr>
            <w:tcW w:type="dxa" w:w="2000"/>
            <w:shd w:val="clear" w:color="auto" w:fill="F6F8F8"/>
          </w:tcPr>
          <w:p>
            <w:pPr>
              <w:spacing w:before="20" w:after="20"/>
            </w:pPr>
            <w:r>
              <w:rPr>
                <w:rFonts w:ascii="Calibri" w:hAnsi="Calibri"/>
                <w:b w:val="0"/>
                <w:i w:val="0"/>
                <w:color w:val="1A2B33"/>
                <w:sz w:val="18"/>
              </w:rPr>
              <w:t>Marcas diarias</w:t>
            </w:r>
          </w:p>
        </w:tc>
        <w:tc>
          <w:tcPr>
            <w:tcW w:type="dxa" w:w="2160"/>
            <w:shd w:val="clear" w:color="auto" w:fill="F6F8F8"/>
          </w:tcPr>
          <w:p>
            <w:pPr>
              <w:spacing w:before="20" w:after="20"/>
            </w:pPr>
            <w:r>
              <w:rPr>
                <w:rFonts w:ascii="Calibri" w:hAnsi="Calibri"/>
                <w:b w:val="0"/>
                <w:i w:val="0"/>
                <w:color w:val="1A2B33"/>
                <w:sz w:val="18"/>
              </w:rPr>
              <w:t>Calendario completado</w:t>
            </w:r>
          </w:p>
        </w:tc>
        <w:tc>
          <w:tcPr>
            <w:tcW w:type="dxa" w:w="1200"/>
            <w:shd w:val="clear" w:color="auto" w:fill="F6F8F8"/>
          </w:tcPr>
          <w:p>
            <w:pPr>
              <w:spacing w:before="20" w:after="20"/>
            </w:pPr>
            <w:r>
              <w:rPr>
                <w:rFonts w:ascii="Calibri" w:hAnsi="Calibri"/>
                <w:b w:val="0"/>
                <w:i w:val="0"/>
                <w:color w:val="1A2B33"/>
                <w:sz w:val="18"/>
              </w:rPr>
              <w:t>Básico</w:t>
            </w:r>
          </w:p>
        </w:tc>
      </w:tr>
      <w:tr>
        <w:tc>
          <w:tcPr>
            <w:tcW w:type="dxa" w:w="1500"/>
          </w:tcPr>
          <w:p>
            <w:pPr>
              <w:spacing w:before="20" w:after="20"/>
            </w:pPr>
            <w:r>
              <w:rPr>
                <w:rFonts w:ascii="Calibri" w:hAnsi="Calibri"/>
                <w:b w:val="0"/>
                <w:i w:val="0"/>
                <w:color w:val="1A2B33"/>
                <w:sz w:val="18"/>
              </w:rPr>
              <w:t>Adherencia y patrones</w:t>
            </w:r>
          </w:p>
        </w:tc>
        <w:tc>
          <w:tcPr>
            <w:tcW w:type="dxa" w:w="2500"/>
          </w:tcPr>
          <w:p>
            <w:pPr>
              <w:spacing w:before="20" w:after="20"/>
            </w:pPr>
            <w:r>
              <w:rPr>
                <w:rFonts w:ascii="Calibri" w:hAnsi="Calibri"/>
                <w:b w:val="0"/>
                <w:i w:val="0"/>
                <w:color w:val="1A2B33"/>
                <w:sz w:val="18"/>
              </w:rPr>
              <w:t>Calcula adherencia y detecta patrones</w:t>
            </w:r>
          </w:p>
        </w:tc>
        <w:tc>
          <w:tcPr>
            <w:tcW w:type="dxa" w:w="2000"/>
          </w:tcPr>
          <w:p>
            <w:pPr>
              <w:spacing w:before="20" w:after="20"/>
            </w:pPr>
            <w:r>
              <w:rPr>
                <w:rFonts w:ascii="Calibri" w:hAnsi="Calibri"/>
                <w:b w:val="0"/>
                <w:i w:val="0"/>
                <w:color w:val="1A2B33"/>
                <w:sz w:val="18"/>
              </w:rPr>
              <w:t>Calendario</w:t>
            </w:r>
          </w:p>
        </w:tc>
        <w:tc>
          <w:tcPr>
            <w:tcW w:type="dxa" w:w="2160"/>
          </w:tcPr>
          <w:p>
            <w:pPr>
              <w:spacing w:before="20" w:after="20"/>
            </w:pPr>
            <w:r>
              <w:rPr>
                <w:rFonts w:ascii="Calibri" w:hAnsi="Calibri"/>
                <w:b w:val="0"/>
                <w:i w:val="0"/>
                <w:color w:val="1A2B33"/>
                <w:sz w:val="18"/>
              </w:rPr>
              <w:t>Indicadores + tablero</w:t>
            </w:r>
          </w:p>
        </w:tc>
        <w:tc>
          <w:tcPr>
            <w:tcW w:type="dxa" w:w="1200"/>
          </w:tcPr>
          <w:p>
            <w:pPr>
              <w:spacing w:before="20" w:after="20"/>
            </w:pPr>
            <w:r>
              <w:rPr>
                <w:rFonts w:ascii="Calibri" w:hAnsi="Calibri"/>
                <w:b w:val="0"/>
                <w:i w:val="0"/>
                <w:color w:val="1A2B33"/>
                <w:sz w:val="18"/>
              </w:rPr>
              <w:t>Intermedio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Datos personales</w:t>
      </w:r>
    </w:p>
    <w:p>
      <w:pPr>
        <w:spacing w:before="40" w:after="60" w:line="276" w:lineRule="auto"/>
      </w:pPr>
      <w:r>
        <w:rPr>
          <w:rFonts w:ascii="Calibri" w:hAnsi="Calibri"/>
          <w:b w:val="0"/>
          <w:i w:val="0"/>
          <w:color w:val="1A2B33"/>
          <w:sz w:val="19"/>
        </w:rPr>
        <w:t>Persona y mes</w:t>
      </w:r>
    </w:p>
    <w:p>
      <w:pPr>
        <w:spacing w:before="60" w:after="20" w:line="276" w:lineRule="auto"/>
      </w:pPr>
      <w:r>
        <w:rPr>
          <w:rFonts w:ascii="Calibri" w:hAnsi="Calibri"/>
          <w:b/>
          <w:i w:val="0"/>
          <w:color w:val="0A3E3A"/>
          <w:sz w:val="20"/>
        </w:rPr>
        <w:t>Otros</w:t>
      </w:r>
    </w:p>
    <w:p>
      <w:pPr>
        <w:spacing w:before="40" w:after="60" w:line="276" w:lineRule="auto"/>
      </w:pPr>
      <w:r>
        <w:rPr>
          <w:rFonts w:ascii="Calibri" w:hAnsi="Calibri"/>
          <w:b w:val="0"/>
          <w:i w:val="0"/>
          <w:color w:val="1A2B33"/>
          <w:sz w:val="19"/>
        </w:rPr>
        <w:t>Hábitos a seguir, Marcas diarias del calendario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Adherencia</w:t>
            </w:r>
          </w:p>
        </w:tc>
        <w:tc>
          <w:tcPr>
            <w:tcW w:type="dxa" w:w="1700"/>
          </w:tcPr>
          <w:p>
            <w:pPr>
              <w:spacing w:before="20" w:after="20"/>
            </w:pPr>
            <w:r>
              <w:rPr>
                <w:rFonts w:ascii="Calibri" w:hAnsi="Calibri"/>
                <w:b w:val="0"/>
                <w:i w:val="0"/>
                <w:color w:val="1A2B33"/>
                <w:sz w:val="18"/>
              </w:rPr>
              <w:t>INDICADOR</w:t>
            </w:r>
          </w:p>
        </w:tc>
        <w:tc>
          <w:tcPr>
            <w:tcW w:type="dxa" w:w="1560"/>
          </w:tcPr>
          <w:p>
            <w:pPr>
              <w:spacing w:before="20" w:after="20"/>
            </w:pPr>
            <w:r>
              <w:rPr>
                <w:rFonts w:ascii="Calibri" w:hAnsi="Calibri"/>
                <w:b w:val="0"/>
                <w:i w:val="0"/>
                <w:color w:val="1A2B33"/>
                <w:sz w:val="18"/>
              </w:rPr>
              <w:t>%</w:t>
            </w:r>
          </w:p>
        </w:tc>
        <w:tc>
          <w:tcPr>
            <w:tcW w:type="dxa" w:w="3100"/>
          </w:tcPr>
          <w:p>
            <w:pPr>
              <w:spacing w:before="20" w:after="20"/>
            </w:pPr>
            <w:r>
              <w:rPr>
                <w:rFonts w:ascii="Calibri" w:hAnsi="Calibri"/>
                <w:b w:val="0"/>
                <w:i w:val="0"/>
                <w:color w:val="1A2B33"/>
                <w:sz w:val="18"/>
              </w:rPr>
              <w:t>Depende del registro diario</w:t>
            </w:r>
          </w:p>
        </w:tc>
      </w:tr>
      <w:tr>
        <w:tc>
          <w:tcPr>
            <w:tcW w:type="dxa" w:w="3000"/>
            <w:shd w:val="clear" w:color="auto" w:fill="F6F8F8"/>
          </w:tcPr>
          <w:p>
            <w:pPr>
              <w:spacing w:before="20" w:after="20"/>
            </w:pPr>
            <w:r>
              <w:rPr>
                <w:rFonts w:ascii="Calibri" w:hAnsi="Calibri"/>
                <w:b w:val="0"/>
                <w:i w:val="0"/>
                <w:color w:val="1A2B33"/>
                <w:sz w:val="18"/>
              </w:rPr>
              <w:t>Patrones y tablero</w:t>
            </w:r>
          </w:p>
        </w:tc>
        <w:tc>
          <w:tcPr>
            <w:tcW w:type="dxa" w:w="1700"/>
            <w:shd w:val="clear" w:color="auto" w:fill="F6F8F8"/>
          </w:tcPr>
          <w:p>
            <w:pPr>
              <w:spacing w:before="20" w:after="20"/>
            </w:pPr>
            <w:r>
              <w:rPr>
                <w:rFonts w:ascii="Calibri" w:hAnsi="Calibri"/>
                <w:b w:val="0"/>
                <w:i w:val="0"/>
                <w:color w:val="1A2B33"/>
                <w:sz w:val="18"/>
              </w:rPr>
              <w:t>GRÁFICO</w:t>
            </w:r>
          </w:p>
        </w:tc>
        <w:tc>
          <w:tcPr>
            <w:tcW w:type="dxa" w:w="1560"/>
            <w:shd w:val="clear" w:color="auto" w:fill="F6F8F8"/>
          </w:tcPr>
          <w:p>
            <w:pPr>
              <w:spacing w:before="20" w:after="20"/>
            </w:pPr>
            <w:r>
              <w:rPr>
                <w:rFonts w:ascii="Calibri" w:hAnsi="Calibri"/>
                <w:b w:val="0"/>
                <w:i w:val="0"/>
                <w:color w:val="1A2B33"/>
                <w:sz w:val="18"/>
              </w:rPr>
              <w:t>visual</w:t>
            </w:r>
          </w:p>
        </w:tc>
        <w:tc>
          <w:tcPr>
            <w:tcW w:type="dxa" w:w="3100"/>
            <w:shd w:val="clear" w:color="auto" w:fill="F6F8F8"/>
          </w:tcPr>
          <w:p>
            <w:pPr>
              <w:spacing w:before="20" w:after="20"/>
            </w:pPr>
            <w:r>
              <w:rPr>
                <w:rFonts w:ascii="Calibri" w:hAnsi="Calibri"/>
                <w:b w:val="0"/>
                <w:i w:val="0"/>
                <w:color w:val="1A2B33"/>
                <w:sz w:val="18"/>
              </w:rPr>
              <w:t>Depende del calendario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HABITOS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REGISTRO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ANALISIS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PANEL</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REGISTRO</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PANEL</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FUENTES</w:t>
            </w:r>
          </w:p>
        </w:tc>
        <w:tc>
          <w:tcPr>
            <w:tcW w:type="dxa" w:w="5760"/>
            <w:shd w:val="clear" w:color="auto" w:fill="F6F8F8"/>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10 hojas (7 visibles y 3 ocultas o auxiliares). Incorpora aproximadamente 259 fórmulas, 2 gráficos, 0 tablas estructuradas y 6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Seguimiento ficticio de tres hábitos durante un mes.</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define persona, mes y hábitos; se marca el calendario.</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tablero calcula la adherencia y muestra patrones.</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La lectura considera que un mes es un punto de partida, no una consolidación.</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Formación de hábitos (mediana 66 días; rango 18–254)</w:t>
            </w:r>
          </w:p>
        </w:tc>
        <w:tc>
          <w:tcPr>
            <w:tcW w:type="dxa" w:w="1500"/>
          </w:tcPr>
          <w:p>
            <w:pPr>
              <w:spacing w:before="20" w:after="20"/>
            </w:pPr>
            <w:r>
              <w:rPr>
                <w:rFonts w:ascii="Calibri" w:hAnsi="Calibri"/>
                <w:b w:val="0"/>
                <w:i w:val="0"/>
                <w:color w:val="1A2B33"/>
                <w:sz w:val="18"/>
              </w:rPr>
              <w:t>General</w:t>
            </w:r>
          </w:p>
        </w:tc>
        <w:tc>
          <w:tcPr>
            <w:tcW w:type="dxa" w:w="1760"/>
          </w:tcPr>
          <w:p>
            <w:pPr>
              <w:spacing w:before="20" w:after="20"/>
            </w:pPr>
            <w:r>
              <w:rPr>
                <w:rFonts w:ascii="Calibri" w:hAnsi="Calibri"/>
                <w:b w:val="0"/>
                <w:i w:val="0"/>
                <w:color w:val="1A2B33"/>
                <w:sz w:val="18"/>
              </w:rPr>
              <w:t>Interpretación de adherencia</w:t>
            </w:r>
          </w:p>
        </w:tc>
        <w:tc>
          <w:tcPr>
            <w:tcW w:type="dxa" w:w="2000"/>
          </w:tcPr>
          <w:p>
            <w:pPr>
              <w:spacing w:before="20" w:after="20"/>
            </w:pPr>
            <w:r>
              <w:rPr>
                <w:rFonts w:ascii="Calibri" w:hAnsi="Calibri"/>
                <w:b w:val="0"/>
                <w:i w:val="0"/>
                <w:color w:val="1A2B33"/>
                <w:sz w:val="18"/>
              </w:rPr>
              <w:t>Un mes no basta para dar por formado un hábito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Lally P, van Jaarsveld CHM, Potts HWW, Wardle J</w:t>
            </w:r>
          </w:p>
        </w:tc>
        <w:tc>
          <w:tcPr>
            <w:tcW w:type="dxa" w:w="2600"/>
          </w:tcPr>
          <w:p>
            <w:pPr>
              <w:spacing w:before="20" w:after="20"/>
            </w:pPr>
            <w:r>
              <w:rPr>
                <w:rFonts w:ascii="Calibri" w:hAnsi="Calibri"/>
                <w:b w:val="0"/>
                <w:i w:val="0"/>
                <w:color w:val="1A2B33"/>
                <w:sz w:val="17"/>
              </w:rPr>
              <w:t>How are habits formed (Eur J Soc Psychol 40(6):998-1009)</w:t>
            </w:r>
          </w:p>
        </w:tc>
        <w:tc>
          <w:tcPr>
            <w:tcW w:type="dxa" w:w="700"/>
          </w:tcPr>
          <w:p>
            <w:pPr>
              <w:spacing w:before="20" w:after="20"/>
            </w:pPr>
            <w:r>
              <w:rPr>
                <w:rFonts w:ascii="Calibri" w:hAnsi="Calibri"/>
                <w:b w:val="0"/>
                <w:i w:val="0"/>
                <w:color w:val="1A2B33"/>
                <w:sz w:val="17"/>
              </w:rPr>
              <w:t>2010</w:t>
            </w:r>
          </w:p>
        </w:tc>
        <w:tc>
          <w:tcPr>
            <w:tcW w:type="dxa" w:w="2160"/>
          </w:tcPr>
          <w:p>
            <w:pPr>
              <w:spacing w:before="20" w:after="20"/>
            </w:pPr>
            <w:r>
              <w:rPr>
                <w:rFonts w:ascii="Calibri" w:hAnsi="Calibri"/>
                <w:b w:val="0"/>
                <w:i w:val="0"/>
                <w:color w:val="1A2B33"/>
                <w:sz w:val="17"/>
              </w:rPr>
              <w:t>Base de evidencia conductual</w:t>
            </w:r>
          </w:p>
        </w:tc>
        <w:tc>
          <w:tcPr>
            <w:tcW w:type="dxa" w:w="1700"/>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Un mes de registro no basta para consolidar un hábito (mediana de 66 días). Es un registro conductual educativo, no una intervención clínica. Depende de la constancia del registro.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académico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Herramienta de apoyo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NMX-35 · Diario Dietético y Conductual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NMX-33 · Planificador de Entrenamiento Semanal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NMX-P1 · Guía del Paquete (Siete Herramientas)</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NMX-24</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NMX-24_Habit_Tracker_Mensual_(5)_COMERCIAL_PRE_P19_REPARADO_PRE_P19.xlsx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NO_CONFIRMADO</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NMX-24 · Seguimiento Mensual de Hábitos (Habit Tracker)</w:t>
            </w:r>
          </w:p>
          <w:p>
            <w:pPr>
              <w:spacing w:before="80" w:after="0"/>
              <w:jc w:val="center"/>
            </w:pPr>
            <w:r>
              <w:rPr>
                <w:rFonts w:ascii="Calibri" w:hAnsi="Calibri"/>
                <w:b w:val="0"/>
                <w:i w:val="0"/>
                <w:color w:val="EDF2F1"/>
                <w:sz w:val="20"/>
              </w:rPr>
              <w:t>Fase 3 · Evaluación y Registro · NO_CONFIRMADO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NMX-24 · Seguimiento Mensual de Hábitos (Habit Tracker)</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