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NMX-25</w:t>
      </w:r>
    </w:p>
    <w:p>
      <w:pPr>
        <w:spacing w:before="0" w:after="160" w:line="252" w:lineRule="auto"/>
      </w:pPr>
      <w:r>
        <w:rPr>
          <w:rFonts w:ascii="Calibri" w:hAnsi="Calibri"/>
          <w:b/>
          <w:i w:val="0"/>
          <w:color w:val="1A2B33"/>
          <w:sz w:val="38"/>
        </w:rPr>
        <w:t>Constructor de Platillos (Equivalentes Autorizados)</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4 · Dietas y Planificación</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Constructor de recetas</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NO_CONFIRMADO</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NMX-25_Constructor_Platillos_SISTEMA_CHILENO_UDD2021(2)_COMERCIAL_PRE_P19_REPARADO_PRE_P19.xlsx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NMX-25 · Constructor de Platillos (Equivalentes Autorizados)</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4 · Dietas y Planificación</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Constructor de recetas</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Construir platillos y recetas a partir de equivalentes autorizados, calculando sus aportes.</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Alimentación: Ingredientes por equivalentes, Recetas; Selecciones / listas desplegables: Equivalentes autorizados</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Platillo construido; Aportes del platillo</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NO_CONFIRMADO</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NMX-25 construye platillos y recetas basados en equivalentes autorizados del sistema chileno (UDD 2021), calculando los aportes de cada preparación con la base alimentaria. Es la pieza que convierte los equivalentes de la dietosíntesis en preparaciones concretas, complementaria de NMX-07 y NMX-02. Pertenece a la Fase 4.</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Construir platillos y recetas a partir de equivalentes autorizados, calculando sus aportes.</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Definir el platillo y sus ingredientes por equivalentes.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Registrar la receta.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Calcular los aportes del platillo.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Uso educativo; sistema chileno de equivalentes (UDD 2021) y base INTA.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Constructor de platillos</w:t>
            </w:r>
          </w:p>
        </w:tc>
        <w:tc>
          <w:tcPr>
            <w:tcW w:type="dxa" w:w="2500"/>
          </w:tcPr>
          <w:p>
            <w:pPr>
              <w:spacing w:before="20" w:after="20"/>
            </w:pPr>
            <w:r>
              <w:rPr>
                <w:rFonts w:ascii="Calibri" w:hAnsi="Calibri"/>
                <w:b w:val="0"/>
                <w:i w:val="0"/>
                <w:color w:val="1A2B33"/>
                <w:sz w:val="18"/>
              </w:rPr>
              <w:t>Compone platillos por equivalentes</w:t>
            </w:r>
          </w:p>
        </w:tc>
        <w:tc>
          <w:tcPr>
            <w:tcW w:type="dxa" w:w="2000"/>
          </w:tcPr>
          <w:p>
            <w:pPr>
              <w:spacing w:before="20" w:after="20"/>
            </w:pPr>
            <w:r>
              <w:rPr>
                <w:rFonts w:ascii="Calibri" w:hAnsi="Calibri"/>
                <w:b w:val="0"/>
                <w:i w:val="0"/>
                <w:color w:val="1A2B33"/>
                <w:sz w:val="18"/>
              </w:rPr>
              <w:t>Ingredientes</w:t>
            </w:r>
          </w:p>
        </w:tc>
        <w:tc>
          <w:tcPr>
            <w:tcW w:type="dxa" w:w="2160"/>
          </w:tcPr>
          <w:p>
            <w:pPr>
              <w:spacing w:before="20" w:after="20"/>
            </w:pPr>
            <w:r>
              <w:rPr>
                <w:rFonts w:ascii="Calibri" w:hAnsi="Calibri"/>
                <w:b w:val="0"/>
                <w:i w:val="0"/>
                <w:color w:val="1A2B33"/>
                <w:sz w:val="18"/>
              </w:rPr>
              <w:t>Platillo construido</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Recetas</w:t>
            </w:r>
          </w:p>
        </w:tc>
        <w:tc>
          <w:tcPr>
            <w:tcW w:type="dxa" w:w="2500"/>
            <w:shd w:val="clear" w:color="auto" w:fill="F6F8F8"/>
          </w:tcPr>
          <w:p>
            <w:pPr>
              <w:spacing w:before="20" w:after="20"/>
            </w:pPr>
            <w:r>
              <w:rPr>
                <w:rFonts w:ascii="Calibri" w:hAnsi="Calibri"/>
                <w:b w:val="0"/>
                <w:i w:val="0"/>
                <w:color w:val="1A2B33"/>
                <w:sz w:val="18"/>
              </w:rPr>
              <w:t>Registra la preparación</w:t>
            </w:r>
          </w:p>
        </w:tc>
        <w:tc>
          <w:tcPr>
            <w:tcW w:type="dxa" w:w="2000"/>
            <w:shd w:val="clear" w:color="auto" w:fill="F6F8F8"/>
          </w:tcPr>
          <w:p>
            <w:pPr>
              <w:spacing w:before="20" w:after="20"/>
            </w:pPr>
            <w:r>
              <w:rPr>
                <w:rFonts w:ascii="Calibri" w:hAnsi="Calibri"/>
                <w:b w:val="0"/>
                <w:i w:val="0"/>
                <w:color w:val="1A2B33"/>
                <w:sz w:val="18"/>
              </w:rPr>
              <w:t>Platillo</w:t>
            </w:r>
          </w:p>
        </w:tc>
        <w:tc>
          <w:tcPr>
            <w:tcW w:type="dxa" w:w="2160"/>
            <w:shd w:val="clear" w:color="auto" w:fill="F6F8F8"/>
          </w:tcPr>
          <w:p>
            <w:pPr>
              <w:spacing w:before="20" w:after="20"/>
            </w:pPr>
            <w:r>
              <w:rPr>
                <w:rFonts w:ascii="Calibri" w:hAnsi="Calibri"/>
                <w:b w:val="0"/>
                <w:i w:val="0"/>
                <w:color w:val="1A2B33"/>
                <w:sz w:val="18"/>
              </w:rPr>
              <w:t>Receta</w:t>
            </w:r>
          </w:p>
        </w:tc>
        <w:tc>
          <w:tcPr>
            <w:tcW w:type="dxa" w:w="1200"/>
            <w:shd w:val="clear" w:color="auto" w:fill="F6F8F8"/>
          </w:tcPr>
          <w:p>
            <w:pPr>
              <w:spacing w:before="20" w:after="20"/>
            </w:pPr>
            <w:r>
              <w:rPr>
                <w:rFonts w:ascii="Calibri" w:hAnsi="Calibri"/>
                <w:b w:val="0"/>
                <w:i w:val="0"/>
                <w:color w:val="1A2B33"/>
                <w:sz w:val="18"/>
              </w:rPr>
              <w:t>Básico</w:t>
            </w:r>
          </w:p>
        </w:tc>
      </w:tr>
      <w:tr>
        <w:tc>
          <w:tcPr>
            <w:tcW w:type="dxa" w:w="1500"/>
          </w:tcPr>
          <w:p>
            <w:pPr>
              <w:spacing w:before="20" w:after="20"/>
            </w:pPr>
            <w:r>
              <w:rPr>
                <w:rFonts w:ascii="Calibri" w:hAnsi="Calibri"/>
                <w:b w:val="0"/>
                <w:i w:val="0"/>
                <w:color w:val="1A2B33"/>
                <w:sz w:val="18"/>
              </w:rPr>
              <w:t>Aportes</w:t>
            </w:r>
          </w:p>
        </w:tc>
        <w:tc>
          <w:tcPr>
            <w:tcW w:type="dxa" w:w="2500"/>
          </w:tcPr>
          <w:p>
            <w:pPr>
              <w:spacing w:before="20" w:after="20"/>
            </w:pPr>
            <w:r>
              <w:rPr>
                <w:rFonts w:ascii="Calibri" w:hAnsi="Calibri"/>
                <w:b w:val="0"/>
                <w:i w:val="0"/>
                <w:color w:val="1A2B33"/>
                <w:sz w:val="18"/>
              </w:rPr>
              <w:t>Calcula los aportes del platillo</w:t>
            </w:r>
          </w:p>
        </w:tc>
        <w:tc>
          <w:tcPr>
            <w:tcW w:type="dxa" w:w="2000"/>
          </w:tcPr>
          <w:p>
            <w:pPr>
              <w:spacing w:before="20" w:after="20"/>
            </w:pPr>
            <w:r>
              <w:rPr>
                <w:rFonts w:ascii="Calibri" w:hAnsi="Calibri"/>
                <w:b w:val="0"/>
                <w:i w:val="0"/>
                <w:color w:val="1A2B33"/>
                <w:sz w:val="18"/>
              </w:rPr>
              <w:t>Ingredientes</w:t>
            </w:r>
          </w:p>
        </w:tc>
        <w:tc>
          <w:tcPr>
            <w:tcW w:type="dxa" w:w="2160"/>
          </w:tcPr>
          <w:p>
            <w:pPr>
              <w:spacing w:before="20" w:after="20"/>
            </w:pPr>
            <w:r>
              <w:rPr>
                <w:rFonts w:ascii="Calibri" w:hAnsi="Calibri"/>
                <w:b w:val="0"/>
                <w:i w:val="0"/>
                <w:color w:val="1A2B33"/>
                <w:sz w:val="18"/>
              </w:rPr>
              <w:t>Aportes por nutriente</w:t>
            </w:r>
          </w:p>
        </w:tc>
        <w:tc>
          <w:tcPr>
            <w:tcW w:type="dxa" w:w="1200"/>
          </w:tcPr>
          <w:p>
            <w:pPr>
              <w:spacing w:before="20" w:after="20"/>
            </w:pPr>
            <w:r>
              <w:rPr>
                <w:rFonts w:ascii="Calibri" w:hAnsi="Calibri"/>
                <w:b w:val="0"/>
                <w:i w:val="0"/>
                <w:color w:val="1A2B33"/>
                <w:sz w:val="18"/>
              </w:rPr>
              <w:t>Intermedio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Alimentación</w:t>
      </w:r>
    </w:p>
    <w:p>
      <w:pPr>
        <w:spacing w:before="40" w:after="60" w:line="276" w:lineRule="auto"/>
      </w:pPr>
      <w:r>
        <w:rPr>
          <w:rFonts w:ascii="Calibri" w:hAnsi="Calibri"/>
          <w:b w:val="0"/>
          <w:i w:val="0"/>
          <w:color w:val="1A2B33"/>
          <w:sz w:val="19"/>
        </w:rPr>
        <w:t>Ingredientes por equivalentes, Recetas</w:t>
      </w:r>
    </w:p>
    <w:p>
      <w:pPr>
        <w:spacing w:before="60" w:after="20" w:line="276" w:lineRule="auto"/>
      </w:pPr>
      <w:r>
        <w:rPr>
          <w:rFonts w:ascii="Calibri" w:hAnsi="Calibri"/>
          <w:b/>
          <w:i w:val="0"/>
          <w:color w:val="0A3E3A"/>
          <w:sz w:val="20"/>
        </w:rPr>
        <w:t>Selecciones / listas desplegables</w:t>
      </w:r>
    </w:p>
    <w:p>
      <w:pPr>
        <w:spacing w:before="40" w:after="60" w:line="276" w:lineRule="auto"/>
      </w:pPr>
      <w:r>
        <w:rPr>
          <w:rFonts w:ascii="Calibri" w:hAnsi="Calibri"/>
          <w:b w:val="0"/>
          <w:i w:val="0"/>
          <w:color w:val="1A2B33"/>
          <w:sz w:val="19"/>
        </w:rPr>
        <w:t>Equivalentes autorizados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Platillo construido</w:t>
            </w:r>
          </w:p>
        </w:tc>
        <w:tc>
          <w:tcPr>
            <w:tcW w:type="dxa" w:w="1700"/>
          </w:tcPr>
          <w:p>
            <w:pPr>
              <w:spacing w:before="20" w:after="20"/>
            </w:pPr>
            <w:r>
              <w:rPr>
                <w:rFonts w:ascii="Calibri" w:hAnsi="Calibri"/>
                <w:b w:val="0"/>
                <w:i w:val="0"/>
                <w:color w:val="1A2B33"/>
                <w:sz w:val="18"/>
              </w:rPr>
              <w:t>PLANIFICACIÓN</w:t>
            </w:r>
          </w:p>
        </w:tc>
        <w:tc>
          <w:tcPr>
            <w:tcW w:type="dxa" w:w="1560"/>
          </w:tcPr>
          <w:p>
            <w:pPr>
              <w:spacing w:before="20" w:after="20"/>
            </w:pPr>
            <w:r>
              <w:rPr>
                <w:rFonts w:ascii="Calibri" w:hAnsi="Calibri"/>
                <w:b w:val="0"/>
                <w:i w:val="0"/>
                <w:color w:val="1A2B33"/>
                <w:sz w:val="18"/>
              </w:rPr>
              <w:t>estructura</w:t>
            </w:r>
          </w:p>
        </w:tc>
        <w:tc>
          <w:tcPr>
            <w:tcW w:type="dxa" w:w="3100"/>
          </w:tcPr>
          <w:p>
            <w:pPr>
              <w:spacing w:before="20" w:after="20"/>
            </w:pPr>
            <w:r>
              <w:rPr>
                <w:rFonts w:ascii="Calibri" w:hAnsi="Calibri"/>
                <w:b w:val="0"/>
                <w:i w:val="0"/>
                <w:color w:val="1A2B33"/>
                <w:sz w:val="18"/>
              </w:rPr>
              <w:t>Depende de los ingredientes</w:t>
            </w:r>
          </w:p>
        </w:tc>
      </w:tr>
      <w:tr>
        <w:tc>
          <w:tcPr>
            <w:tcW w:type="dxa" w:w="3000"/>
            <w:shd w:val="clear" w:color="auto" w:fill="F6F8F8"/>
          </w:tcPr>
          <w:p>
            <w:pPr>
              <w:spacing w:before="20" w:after="20"/>
            </w:pPr>
            <w:r>
              <w:rPr>
                <w:rFonts w:ascii="Calibri" w:hAnsi="Calibri"/>
                <w:b w:val="0"/>
                <w:i w:val="0"/>
                <w:color w:val="1A2B33"/>
                <w:sz w:val="18"/>
              </w:rPr>
              <w:t>Aportes del platillo</w:t>
            </w:r>
          </w:p>
        </w:tc>
        <w:tc>
          <w:tcPr>
            <w:tcW w:type="dxa" w:w="1700"/>
            <w:shd w:val="clear" w:color="auto" w:fill="F6F8F8"/>
          </w:tcPr>
          <w:p>
            <w:pPr>
              <w:spacing w:before="20" w:after="20"/>
            </w:pPr>
            <w:r>
              <w:rPr>
                <w:rFonts w:ascii="Calibri" w:hAnsi="Calibri"/>
                <w:b w:val="0"/>
                <w:i w:val="0"/>
                <w:color w:val="1A2B33"/>
                <w:sz w:val="18"/>
              </w:rPr>
              <w:t>CÁLCULO</w:t>
            </w:r>
          </w:p>
        </w:tc>
        <w:tc>
          <w:tcPr>
            <w:tcW w:type="dxa" w:w="1560"/>
            <w:shd w:val="clear" w:color="auto" w:fill="F6F8F8"/>
          </w:tcPr>
          <w:p>
            <w:pPr>
              <w:spacing w:before="20" w:after="20"/>
            </w:pPr>
            <w:r>
              <w:rPr>
                <w:rFonts w:ascii="Calibri" w:hAnsi="Calibri"/>
                <w:b w:val="0"/>
                <w:i w:val="0"/>
                <w:color w:val="1A2B33"/>
                <w:sz w:val="18"/>
              </w:rPr>
              <w:t>por nutriente</w:t>
            </w:r>
          </w:p>
        </w:tc>
        <w:tc>
          <w:tcPr>
            <w:tcW w:type="dxa" w:w="3100"/>
            <w:shd w:val="clear" w:color="auto" w:fill="F6F8F8"/>
          </w:tcPr>
          <w:p>
            <w:pPr>
              <w:spacing w:before="20" w:after="20"/>
            </w:pPr>
            <w:r>
              <w:rPr>
                <w:rFonts w:ascii="Calibri" w:hAnsi="Calibri"/>
                <w:b w:val="0"/>
                <w:i w:val="0"/>
                <w:color w:val="1A2B33"/>
                <w:sz w:val="18"/>
              </w:rPr>
              <w:t>Depende de la base</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PLATILLOS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RECETAS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ALIMENTOS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PLATILLOS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RECETAS</w:t>
            </w:r>
          </w:p>
        </w:tc>
        <w:tc>
          <w:tcPr>
            <w:tcW w:type="dxa" w:w="5760"/>
          </w:tcPr>
          <w:p>
            <w:pPr>
              <w:spacing w:before="20" w:after="20"/>
            </w:pPr>
            <w:r>
              <w:rPr>
                <w:rFonts w:ascii="Calibri" w:hAnsi="Calibri"/>
                <w:b w:val="0"/>
                <w:i w:val="0"/>
                <w:color w:val="1A2B33"/>
                <w:sz w:val="18"/>
              </w:rPr>
              <w:t>ENTRADA</w:t>
            </w:r>
          </w:p>
        </w:tc>
      </w:tr>
      <w:tr>
        <w:tc>
          <w:tcPr>
            <w:tcW w:type="dxa" w:w="3600"/>
            <w:shd w:val="clear" w:color="auto" w:fill="F6F8F8"/>
          </w:tcPr>
          <w:p>
            <w:pPr>
              <w:spacing w:before="20" w:after="20"/>
            </w:pPr>
            <w:r>
              <w:rPr>
                <w:rFonts w:ascii="Calibri" w:hAnsi="Calibri"/>
                <w:b w:val="0"/>
                <w:i w:val="0"/>
                <w:color w:val="1A2B33"/>
                <w:sz w:val="18"/>
              </w:rPr>
              <w:t>RESULTADOS</w:t>
            </w:r>
          </w:p>
        </w:tc>
        <w:tc>
          <w:tcPr>
            <w:tcW w:type="dxa" w:w="5760"/>
            <w:shd w:val="clear" w:color="auto" w:fill="F6F8F8"/>
          </w:tcPr>
          <w:p>
            <w:pPr>
              <w:spacing w:before="20" w:after="20"/>
            </w:pPr>
            <w:r>
              <w:rPr>
                <w:rFonts w:ascii="Calibri" w:hAnsi="Calibri"/>
                <w:b w:val="0"/>
                <w:i w:val="0"/>
                <w:color w:val="1A2B33"/>
                <w:sz w:val="18"/>
              </w:rPr>
              <w:t>RESULTADOS</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10 hojas (10 visibles y 0 ocultas o auxiliares). Incorpora aproximadamente 255 fórmulas, 1 gráficos, 0 tablas estructuradas y 6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Platillo ficticio a partir de equivalentes de varios grupos.</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seleccionan ingredientes por equivalente.</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constructor arma el platillo y calcula sus aportes.</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La receta queda disponible para el menú.</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REGLA DE IMPLEMENTACIÓN</w:t>
            </w:r>
          </w:p>
        </w:tc>
        <w:tc>
          <w:tcPr>
            <w:tcW w:type="dxa" w:w="2600"/>
          </w:tcPr>
          <w:p>
            <w:pPr>
              <w:spacing w:before="20" w:after="20"/>
            </w:pPr>
            <w:r>
              <w:rPr>
                <w:rFonts w:ascii="Calibri" w:hAnsi="Calibri"/>
                <w:b w:val="0"/>
                <w:i w:val="0"/>
                <w:color w:val="1A2B33"/>
                <w:sz w:val="18"/>
              </w:rPr>
              <w:t>Equivalentes autorizados (sistema chileno UDD 2021)</w:t>
            </w:r>
          </w:p>
        </w:tc>
        <w:tc>
          <w:tcPr>
            <w:tcW w:type="dxa" w:w="1500"/>
          </w:tcPr>
          <w:p>
            <w:pPr>
              <w:spacing w:before="20" w:after="20"/>
            </w:pPr>
            <w:r>
              <w:rPr>
                <w:rFonts w:ascii="Calibri" w:hAnsi="Calibri"/>
                <w:b w:val="0"/>
                <w:i w:val="0"/>
                <w:color w:val="1A2B33"/>
                <w:sz w:val="18"/>
              </w:rPr>
              <w:t>Chile</w:t>
            </w:r>
          </w:p>
        </w:tc>
        <w:tc>
          <w:tcPr>
            <w:tcW w:type="dxa" w:w="1760"/>
          </w:tcPr>
          <w:p>
            <w:pPr>
              <w:spacing w:before="20" w:after="20"/>
            </w:pPr>
            <w:r>
              <w:rPr>
                <w:rFonts w:ascii="Calibri" w:hAnsi="Calibri"/>
                <w:b w:val="0"/>
                <w:i w:val="0"/>
                <w:color w:val="1A2B33"/>
                <w:sz w:val="18"/>
              </w:rPr>
              <w:t>Construcción de platillos</w:t>
            </w:r>
          </w:p>
        </w:tc>
        <w:tc>
          <w:tcPr>
            <w:tcW w:type="dxa" w:w="2000"/>
          </w:tcPr>
          <w:p>
            <w:pPr>
              <w:spacing w:before="20" w:after="20"/>
            </w:pPr>
            <w:r>
              <w:rPr>
                <w:rFonts w:ascii="Calibri" w:hAnsi="Calibri"/>
                <w:b w:val="0"/>
                <w:i w:val="0"/>
                <w:color w:val="1A2B33"/>
                <w:sz w:val="18"/>
              </w:rPr>
              <w:t>Uso educativo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INTA, Universidad de Chile</w:t>
            </w:r>
          </w:p>
        </w:tc>
        <w:tc>
          <w:tcPr>
            <w:tcW w:type="dxa" w:w="2600"/>
          </w:tcPr>
          <w:p>
            <w:pPr>
              <w:spacing w:before="20" w:after="20"/>
            </w:pPr>
            <w:r>
              <w:rPr>
                <w:rFonts w:ascii="Calibri" w:hAnsi="Calibri"/>
                <w:b w:val="0"/>
                <w:i w:val="0"/>
                <w:color w:val="1A2B33"/>
                <w:sz w:val="17"/>
              </w:rPr>
              <w:t>Tabla de Composición de Alimentos</w:t>
            </w:r>
          </w:p>
        </w:tc>
        <w:tc>
          <w:tcPr>
            <w:tcW w:type="dxa" w:w="700"/>
          </w:tcPr>
          <w:p>
            <w:pPr>
              <w:spacing w:before="20" w:after="20"/>
            </w:pPr>
            <w:r>
              <w:rPr>
                <w:rFonts w:ascii="Calibri" w:hAnsi="Calibri"/>
                <w:b w:val="0"/>
                <w:i w:val="0"/>
                <w:color w:val="1A2B33"/>
                <w:sz w:val="17"/>
              </w:rPr>
              <w:t>2018</w:t>
            </w:r>
          </w:p>
        </w:tc>
        <w:tc>
          <w:tcPr>
            <w:tcW w:type="dxa" w:w="2160"/>
          </w:tcPr>
          <w:p>
            <w:pPr>
              <w:spacing w:before="20" w:after="20"/>
            </w:pPr>
            <w:r>
              <w:rPr>
                <w:rFonts w:ascii="Calibri" w:hAnsi="Calibri"/>
                <w:b w:val="0"/>
                <w:i w:val="0"/>
                <w:color w:val="1A2B33"/>
                <w:sz w:val="17"/>
              </w:rPr>
              <w:t>Base alimentaria</w:t>
            </w:r>
          </w:p>
        </w:tc>
        <w:tc>
          <w:tcPr>
            <w:tcW w:type="dxa" w:w="1700"/>
          </w:tcPr>
          <w:p>
            <w:pPr>
              <w:spacing w:before="20" w:after="20"/>
            </w:pPr>
            <w:r>
              <w:rPr>
                <w:rFonts w:ascii="Calibri" w:hAnsi="Calibri"/>
                <w:b w:val="0"/>
                <w:i w:val="0"/>
                <w:color w:val="1A2B33"/>
                <w:sz w:val="17"/>
              </w:rPr>
              <w:t>FUENTE_PRIMARIA</w:t>
            </w:r>
          </w:p>
        </w:tc>
      </w:tr>
      <w:tr>
        <w:tc>
          <w:tcPr>
            <w:tcW w:type="dxa" w:w="2200"/>
            <w:shd w:val="clear" w:color="auto" w:fill="F6F8F8"/>
          </w:tcPr>
          <w:p>
            <w:pPr>
              <w:spacing w:before="20" w:after="20"/>
            </w:pPr>
            <w:r>
              <w:rPr>
                <w:rFonts w:ascii="Calibri" w:hAnsi="Calibri"/>
                <w:b w:val="0"/>
                <w:i w:val="0"/>
                <w:color w:val="1A2B33"/>
                <w:sz w:val="17"/>
              </w:rPr>
              <w:t>UDD 2021</w:t>
            </w:r>
          </w:p>
        </w:tc>
        <w:tc>
          <w:tcPr>
            <w:tcW w:type="dxa" w:w="2600"/>
            <w:shd w:val="clear" w:color="auto" w:fill="F6F8F8"/>
          </w:tcPr>
          <w:p>
            <w:pPr>
              <w:spacing w:before="20" w:after="20"/>
            </w:pPr>
            <w:r>
              <w:rPr>
                <w:rFonts w:ascii="Calibri" w:hAnsi="Calibri"/>
                <w:b w:val="0"/>
                <w:i w:val="0"/>
                <w:color w:val="1A2B33"/>
                <w:sz w:val="17"/>
              </w:rPr>
              <w:t>Sistema de equivalentes</w:t>
            </w:r>
          </w:p>
        </w:tc>
        <w:tc>
          <w:tcPr>
            <w:tcW w:type="dxa" w:w="700"/>
            <w:shd w:val="clear" w:color="auto" w:fill="F6F8F8"/>
          </w:tcPr>
          <w:p>
            <w:pPr>
              <w:spacing w:before="20" w:after="20"/>
            </w:pPr>
            <w:r>
              <w:rPr>
                <w:rFonts w:ascii="Calibri" w:hAnsi="Calibri"/>
                <w:b w:val="0"/>
                <w:i w:val="0"/>
                <w:color w:val="1A2B33"/>
                <w:sz w:val="17"/>
              </w:rPr>
              <w:t>2021</w:t>
            </w:r>
          </w:p>
        </w:tc>
        <w:tc>
          <w:tcPr>
            <w:tcW w:type="dxa" w:w="2160"/>
            <w:shd w:val="clear" w:color="auto" w:fill="F6F8F8"/>
          </w:tcPr>
          <w:p>
            <w:pPr>
              <w:spacing w:before="20" w:after="20"/>
            </w:pPr>
            <w:r>
              <w:rPr>
                <w:rFonts w:ascii="Calibri" w:hAnsi="Calibri"/>
                <w:b w:val="0"/>
                <w:i w:val="0"/>
                <w:color w:val="1A2B33"/>
                <w:sz w:val="17"/>
              </w:rPr>
              <w:t>Equivalentes autorizados</w:t>
            </w:r>
          </w:p>
        </w:tc>
        <w:tc>
          <w:tcPr>
            <w:tcW w:type="dxa" w:w="1700"/>
            <w:shd w:val="clear" w:color="auto" w:fill="F6F8F8"/>
          </w:tcPr>
          <w:p>
            <w:pPr>
              <w:spacing w:before="20" w:after="20"/>
            </w:pPr>
            <w:r>
              <w:rPr>
                <w:rFonts w:ascii="Calibri" w:hAnsi="Calibri"/>
                <w:b w:val="0"/>
                <w:i w:val="0"/>
                <w:color w:val="1A2B33"/>
                <w:sz w:val="17"/>
              </w:rPr>
              <w:t>FUENTE_SECUNDARIA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Construye platillos educativos; los aportes dependen de la base y de las porciones. Base INTA de distribución autorizada.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NMX-07 · Gestor de Creación de Dietas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NMX-02 · Tabla Dietosintética Semanal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NMX-17 · Recordatorio de 24 Horas Conectado a Equivalentes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NMX-25</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NMX-25_Constructor_Platillos_SISTEMA_CHILENO_UDD2021(2)_COMERCIAL_PRE_P19_REPARADO_PRE_P19.xlsx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NO_CONFIRMADO</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NMX-25 · Constructor de Platillos (Equivalentes Autorizados)</w:t>
            </w:r>
          </w:p>
          <w:p>
            <w:pPr>
              <w:spacing w:before="80" w:after="0"/>
              <w:jc w:val="center"/>
            </w:pPr>
            <w:r>
              <w:rPr>
                <w:rFonts w:ascii="Calibri" w:hAnsi="Calibri"/>
                <w:b w:val="0"/>
                <w:i w:val="0"/>
                <w:color w:val="EDF2F1"/>
                <w:sz w:val="20"/>
              </w:rPr>
              <w:t>Fase 4 · Dietas y Planificación · NO_CONFIRMADO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NMX-25 · Constructor de Platillos (Equivalentes Autoriz</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