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NMX-28-INTEGRADO</w:t>
      </w:r>
    </w:p>
    <w:p>
      <w:pPr>
        <w:spacing w:before="0" w:after="160" w:line="252" w:lineRule="auto"/>
      </w:pPr>
      <w:r>
        <w:rPr>
          <w:rFonts w:ascii="Calibri" w:hAnsi="Calibri"/>
          <w:b/>
          <w:i w:val="0"/>
          <w:color w:val="1A2B33"/>
          <w:sz w:val="38"/>
        </w:rPr>
        <w:t>Pack Antropometría Integrado (un solo archivo)</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7 · Antropometría</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Suite antropométrica integrada</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v2.1</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(declarado). Estructura muy extensa (63 hojas) con módulos M-prefijados.</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NMX-28_Integrado_v2_1_UDD_18CA_CORREGIDO_COMERCIAL_PRE_P19_REPARADO_PRE_P19.xlsx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NMX-28-INTEGRADO · Pack Antropometría Integrado (un solo archivo)</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7 · Antropometría</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Suite antropométrica integrada</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Reunir en un único archivo autónomo los módulos de antropometría (NMX-41, 36, 12, 16 y 34 educativo) con mediciones, seguimiento, curvas y auditoría de integración.</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Antropometría: Pliegues, perímetros, diámetros, Peso, talla; Datos personales: Sexo, edad (usar código)</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Composición y somatotipo; Seguimiento antropométrico; Auditoría de integración</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v2.1</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(declarado). Estructura muy extensa (63 hojas) con módulos M-prefijados.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NMX-28-INTEGRADO (versión 2.1, 63 hojas) es la versión 'todo en uno' del pack de antropometría: reúne en un solo archivo autónomo los módulos M41, M36, M12, M16 y M34 (educativo), cada uno con su propio INICIO/DATOS/CALCULOS/FUENTES, más hojas transversales de mediciones, seguimiento, curvas, mapa de módulos, protocolos UDD y auditoría de integración. Su alcance es solo adultos. Es la suite antropométrica integrada de la Fase 7, alternativa al pack de archivos separados.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Reunir en un único archivo autónomo los módulos de antropometría (NMX-41, 36, 12, 16 y 34 educativo) con mediciones, seguimiento, curvas y auditoría de integración.</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mediciones en un solo libro.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Ejecutar los módulos integrados (pliegues, composición, somatotipo, ETM).</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Revisar el seguimiento y la auditoría de integración.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Solo adultos (≥18 a), sin extrapolación; usar códigos, sin datos identificables.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Mediciones integradas</w:t>
            </w:r>
          </w:p>
        </w:tc>
        <w:tc>
          <w:tcPr>
            <w:tcW w:type="dxa" w:w="2500"/>
          </w:tcPr>
          <w:p>
            <w:pPr>
              <w:spacing w:before="20" w:after="20"/>
            </w:pPr>
            <w:r>
              <w:rPr>
                <w:rFonts w:ascii="Calibri" w:hAnsi="Calibri"/>
                <w:b w:val="0"/>
                <w:i w:val="0"/>
                <w:color w:val="1A2B33"/>
                <w:sz w:val="18"/>
              </w:rPr>
              <w:t>Registra en un único libro</w:t>
            </w:r>
          </w:p>
        </w:tc>
        <w:tc>
          <w:tcPr>
            <w:tcW w:type="dxa" w:w="2000"/>
          </w:tcPr>
          <w:p>
            <w:pPr>
              <w:spacing w:before="20" w:after="20"/>
            </w:pPr>
            <w:r>
              <w:rPr>
                <w:rFonts w:ascii="Calibri" w:hAnsi="Calibri"/>
                <w:b w:val="0"/>
                <w:i w:val="0"/>
                <w:color w:val="1A2B33"/>
                <w:sz w:val="18"/>
              </w:rPr>
              <w:t>Antropometría</w:t>
            </w:r>
          </w:p>
        </w:tc>
        <w:tc>
          <w:tcPr>
            <w:tcW w:type="dxa" w:w="2160"/>
          </w:tcPr>
          <w:p>
            <w:pPr>
              <w:spacing w:before="20" w:after="20"/>
            </w:pPr>
            <w:r>
              <w:rPr>
                <w:rFonts w:ascii="Calibri" w:hAnsi="Calibri"/>
                <w:b w:val="0"/>
                <w:i w:val="0"/>
                <w:color w:val="1A2B33"/>
                <w:sz w:val="18"/>
              </w:rPr>
              <w:t>Registro central</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Módulos de cálculo</w:t>
            </w:r>
          </w:p>
        </w:tc>
        <w:tc>
          <w:tcPr>
            <w:tcW w:type="dxa" w:w="2500"/>
            <w:shd w:val="clear" w:color="auto" w:fill="F6F8F8"/>
          </w:tcPr>
          <w:p>
            <w:pPr>
              <w:spacing w:before="20" w:after="20"/>
            </w:pPr>
            <w:r>
              <w:rPr>
                <w:rFonts w:ascii="Calibri" w:hAnsi="Calibri"/>
                <w:b w:val="0"/>
                <w:i w:val="0"/>
                <w:color w:val="1A2B33"/>
                <w:sz w:val="18"/>
              </w:rPr>
              <w:t>Ejecuta M41/M36/M12/M16/M34</w:t>
            </w:r>
          </w:p>
        </w:tc>
        <w:tc>
          <w:tcPr>
            <w:tcW w:type="dxa" w:w="2000"/>
            <w:shd w:val="clear" w:color="auto" w:fill="F6F8F8"/>
          </w:tcPr>
          <w:p>
            <w:pPr>
              <w:spacing w:before="20" w:after="20"/>
            </w:pPr>
            <w:r>
              <w:rPr>
                <w:rFonts w:ascii="Calibri" w:hAnsi="Calibri"/>
                <w:b w:val="0"/>
                <w:i w:val="0"/>
                <w:color w:val="1A2B33"/>
                <w:sz w:val="18"/>
              </w:rPr>
              <w:t>Mediciones</w:t>
            </w:r>
          </w:p>
        </w:tc>
        <w:tc>
          <w:tcPr>
            <w:tcW w:type="dxa" w:w="2160"/>
            <w:shd w:val="clear" w:color="auto" w:fill="F6F8F8"/>
          </w:tcPr>
          <w:p>
            <w:pPr>
              <w:spacing w:before="20" w:after="20"/>
            </w:pPr>
            <w:r>
              <w:rPr>
                <w:rFonts w:ascii="Calibri" w:hAnsi="Calibri"/>
                <w:b w:val="0"/>
                <w:i w:val="0"/>
                <w:color w:val="1A2B33"/>
                <w:sz w:val="18"/>
              </w:rPr>
              <w:t>Composición, somatotipo, ETM, edad metabólica</w:t>
            </w:r>
          </w:p>
        </w:tc>
        <w:tc>
          <w:tcPr>
            <w:tcW w:type="dxa" w:w="1200"/>
            <w:shd w:val="clear" w:color="auto" w:fill="F6F8F8"/>
          </w:tcPr>
          <w:p>
            <w:pPr>
              <w:spacing w:before="20" w:after="20"/>
            </w:pPr>
            <w:r>
              <w:rPr>
                <w:rFonts w:ascii="Calibri" w:hAnsi="Calibri"/>
                <w:b w:val="0"/>
                <w:i w:val="0"/>
                <w:color w:val="1A2B33"/>
                <w:sz w:val="18"/>
              </w:rPr>
              <w:t>Avanzado</w:t>
            </w:r>
          </w:p>
        </w:tc>
      </w:tr>
      <w:tr>
        <w:tc>
          <w:tcPr>
            <w:tcW w:type="dxa" w:w="1500"/>
          </w:tcPr>
          <w:p>
            <w:pPr>
              <w:spacing w:before="20" w:after="20"/>
            </w:pPr>
            <w:r>
              <w:rPr>
                <w:rFonts w:ascii="Calibri" w:hAnsi="Calibri"/>
                <w:b w:val="0"/>
                <w:i w:val="0"/>
                <w:color w:val="1A2B33"/>
                <w:sz w:val="18"/>
              </w:rPr>
              <w:t>Seguimiento y auditoría</w:t>
            </w:r>
          </w:p>
        </w:tc>
        <w:tc>
          <w:tcPr>
            <w:tcW w:type="dxa" w:w="2500"/>
          </w:tcPr>
          <w:p>
            <w:pPr>
              <w:spacing w:before="20" w:after="20"/>
            </w:pPr>
            <w:r>
              <w:rPr>
                <w:rFonts w:ascii="Calibri" w:hAnsi="Calibri"/>
                <w:b w:val="0"/>
                <w:i w:val="0"/>
                <w:color w:val="1A2B33"/>
                <w:sz w:val="18"/>
              </w:rPr>
              <w:t>Sigue evaluaciones y audita la integración</w:t>
            </w:r>
          </w:p>
        </w:tc>
        <w:tc>
          <w:tcPr>
            <w:tcW w:type="dxa" w:w="2000"/>
          </w:tcPr>
          <w:p>
            <w:pPr>
              <w:spacing w:before="20" w:after="20"/>
            </w:pPr>
            <w:r>
              <w:rPr>
                <w:rFonts w:ascii="Calibri" w:hAnsi="Calibri"/>
                <w:b w:val="0"/>
                <w:i w:val="0"/>
                <w:color w:val="1A2B33"/>
                <w:sz w:val="18"/>
              </w:rPr>
              <w:t>Evaluaciones</w:t>
            </w:r>
          </w:p>
        </w:tc>
        <w:tc>
          <w:tcPr>
            <w:tcW w:type="dxa" w:w="2160"/>
          </w:tcPr>
          <w:p>
            <w:pPr>
              <w:spacing w:before="20" w:after="20"/>
            </w:pPr>
            <w:r>
              <w:rPr>
                <w:rFonts w:ascii="Calibri" w:hAnsi="Calibri"/>
                <w:b w:val="0"/>
                <w:i w:val="0"/>
                <w:color w:val="1A2B33"/>
                <w:sz w:val="18"/>
              </w:rPr>
              <w:t>Tendencia + auditoría</w:t>
            </w:r>
          </w:p>
        </w:tc>
        <w:tc>
          <w:tcPr>
            <w:tcW w:type="dxa" w:w="1200"/>
          </w:tcPr>
          <w:p>
            <w:pPr>
              <w:spacing w:before="20" w:after="20"/>
            </w:pPr>
            <w:r>
              <w:rPr>
                <w:rFonts w:ascii="Calibri" w:hAnsi="Calibri"/>
                <w:b w:val="0"/>
                <w:i w:val="0"/>
                <w:color w:val="1A2B33"/>
                <w:sz w:val="18"/>
              </w:rPr>
              <w:t>Avanzado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Antropometría</w:t>
      </w:r>
    </w:p>
    <w:p>
      <w:pPr>
        <w:spacing w:before="40" w:after="60" w:line="276" w:lineRule="auto"/>
      </w:pPr>
      <w:r>
        <w:rPr>
          <w:rFonts w:ascii="Calibri" w:hAnsi="Calibri"/>
          <w:b w:val="0"/>
          <w:i w:val="0"/>
          <w:color w:val="1A2B33"/>
          <w:sz w:val="19"/>
        </w:rPr>
        <w:t>Pliegues, perímetros, diámetros, Peso, talla</w:t>
      </w:r>
    </w:p>
    <w:p>
      <w:pPr>
        <w:spacing w:before="60" w:after="20" w:line="276" w:lineRule="auto"/>
      </w:pPr>
      <w:r>
        <w:rPr>
          <w:rFonts w:ascii="Calibri" w:hAnsi="Calibri"/>
          <w:b/>
          <w:i w:val="0"/>
          <w:color w:val="0A3E3A"/>
          <w:sz w:val="20"/>
        </w:rPr>
        <w:t>Datos personales</w:t>
      </w:r>
    </w:p>
    <w:p>
      <w:pPr>
        <w:spacing w:before="40" w:after="60" w:line="276" w:lineRule="auto"/>
      </w:pPr>
      <w:r>
        <w:rPr>
          <w:rFonts w:ascii="Calibri" w:hAnsi="Calibri"/>
          <w:b w:val="0"/>
          <w:i w:val="0"/>
          <w:color w:val="1A2B33"/>
          <w:sz w:val="19"/>
        </w:rPr>
        <w:t>Sexo, edad (usar código)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Composición y somatotipo</w:t>
            </w:r>
          </w:p>
        </w:tc>
        <w:tc>
          <w:tcPr>
            <w:tcW w:type="dxa" w:w="1700"/>
          </w:tcPr>
          <w:p>
            <w:pPr>
              <w:spacing w:before="20" w:after="20"/>
            </w:pPr>
            <w:r>
              <w:rPr>
                <w:rFonts w:ascii="Calibri" w:hAnsi="Calibri"/>
                <w:b w:val="0"/>
                <w:i w:val="0"/>
                <w:color w:val="1A2B33"/>
                <w:sz w:val="18"/>
              </w:rPr>
              <w:t>CÁLCULO</w:t>
            </w:r>
          </w:p>
        </w:tc>
        <w:tc>
          <w:tcPr>
            <w:tcW w:type="dxa" w:w="1560"/>
          </w:tcPr>
          <w:p>
            <w:pPr>
              <w:spacing w:before="20" w:after="20"/>
            </w:pPr>
            <w:r>
              <w:rPr>
                <w:rFonts w:ascii="Calibri" w:hAnsi="Calibri"/>
                <w:b w:val="0"/>
                <w:i w:val="0"/>
                <w:color w:val="1A2B33"/>
                <w:sz w:val="18"/>
              </w:rPr>
              <w:t>%/componentes</w:t>
            </w:r>
          </w:p>
        </w:tc>
        <w:tc>
          <w:tcPr>
            <w:tcW w:type="dxa" w:w="3100"/>
          </w:tcPr>
          <w:p>
            <w:pPr>
              <w:spacing w:before="20" w:after="20"/>
            </w:pPr>
            <w:r>
              <w:rPr>
                <w:rFonts w:ascii="Calibri" w:hAnsi="Calibri"/>
                <w:b w:val="0"/>
                <w:i w:val="0"/>
                <w:color w:val="1A2B33"/>
                <w:sz w:val="18"/>
              </w:rPr>
              <w:t>Depende de mediciones</w:t>
            </w:r>
          </w:p>
        </w:tc>
      </w:tr>
      <w:tr>
        <w:tc>
          <w:tcPr>
            <w:tcW w:type="dxa" w:w="3000"/>
            <w:shd w:val="clear" w:color="auto" w:fill="F6F8F8"/>
          </w:tcPr>
          <w:p>
            <w:pPr>
              <w:spacing w:before="20" w:after="20"/>
            </w:pPr>
            <w:r>
              <w:rPr>
                <w:rFonts w:ascii="Calibri" w:hAnsi="Calibri"/>
                <w:b w:val="0"/>
                <w:i w:val="0"/>
                <w:color w:val="1A2B33"/>
                <w:sz w:val="18"/>
              </w:rPr>
              <w:t>Seguimiento antropométrico</w:t>
            </w:r>
          </w:p>
        </w:tc>
        <w:tc>
          <w:tcPr>
            <w:tcW w:type="dxa" w:w="1700"/>
            <w:shd w:val="clear" w:color="auto" w:fill="F6F8F8"/>
          </w:tcPr>
          <w:p>
            <w:pPr>
              <w:spacing w:before="20" w:after="20"/>
            </w:pPr>
            <w:r>
              <w:rPr>
                <w:rFonts w:ascii="Calibri" w:hAnsi="Calibri"/>
                <w:b w:val="0"/>
                <w:i w:val="0"/>
                <w:color w:val="1A2B33"/>
                <w:sz w:val="18"/>
              </w:rPr>
              <w:t>COMPARACIÓN</w:t>
            </w:r>
          </w:p>
        </w:tc>
        <w:tc>
          <w:tcPr>
            <w:tcW w:type="dxa" w:w="1560"/>
            <w:shd w:val="clear" w:color="auto" w:fill="F6F8F8"/>
          </w:tcPr>
          <w:p>
            <w:pPr>
              <w:spacing w:before="20" w:after="20"/>
            </w:pPr>
            <w:r>
              <w:rPr>
                <w:rFonts w:ascii="Calibri" w:hAnsi="Calibri"/>
                <w:b w:val="0"/>
                <w:i w:val="0"/>
                <w:color w:val="1A2B33"/>
                <w:sz w:val="18"/>
              </w:rPr>
              <w:t>por método</w:t>
            </w:r>
          </w:p>
        </w:tc>
        <w:tc>
          <w:tcPr>
            <w:tcW w:type="dxa" w:w="3100"/>
            <w:shd w:val="clear" w:color="auto" w:fill="F6F8F8"/>
          </w:tcPr>
          <w:p>
            <w:pPr>
              <w:spacing w:before="20" w:after="20"/>
            </w:pPr>
            <w:r>
              <w:rPr>
                <w:rFonts w:ascii="Calibri" w:hAnsi="Calibri"/>
                <w:b w:val="0"/>
                <w:i w:val="0"/>
                <w:color w:val="1A2B33"/>
                <w:sz w:val="18"/>
              </w:rPr>
              <w:t>Depende de evaluaciones</w:t>
            </w:r>
          </w:p>
        </w:tc>
      </w:tr>
      <w:tr>
        <w:tc>
          <w:tcPr>
            <w:tcW w:type="dxa" w:w="3000"/>
          </w:tcPr>
          <w:p>
            <w:pPr>
              <w:spacing w:before="20" w:after="20"/>
            </w:pPr>
            <w:r>
              <w:rPr>
                <w:rFonts w:ascii="Calibri" w:hAnsi="Calibri"/>
                <w:b w:val="0"/>
                <w:i w:val="0"/>
                <w:color w:val="1A2B33"/>
                <w:sz w:val="18"/>
              </w:rPr>
              <w:t>Auditoría de integración</w:t>
            </w:r>
          </w:p>
        </w:tc>
        <w:tc>
          <w:tcPr>
            <w:tcW w:type="dxa" w:w="1700"/>
          </w:tcPr>
          <w:p>
            <w:pPr>
              <w:spacing w:before="20" w:after="20"/>
            </w:pPr>
            <w:r>
              <w:rPr>
                <w:rFonts w:ascii="Calibri" w:hAnsi="Calibri"/>
                <w:b w:val="0"/>
                <w:i w:val="0"/>
                <w:color w:val="1A2B33"/>
                <w:sz w:val="18"/>
              </w:rPr>
              <w:t>REGISTRO</w:t>
            </w:r>
          </w:p>
        </w:tc>
        <w:tc>
          <w:tcPr>
            <w:tcW w:type="dxa" w:w="1560"/>
          </w:tcPr>
          <w:p>
            <w:pPr>
              <w:spacing w:before="20" w:after="20"/>
            </w:pPr>
            <w:r>
              <w:rPr>
                <w:rFonts w:ascii="Calibri" w:hAnsi="Calibri"/>
                <w:b w:val="0"/>
                <w:i w:val="0"/>
                <w:color w:val="1A2B33"/>
                <w:sz w:val="18"/>
              </w:rPr>
              <w:t>estado</w:t>
            </w:r>
          </w:p>
        </w:tc>
        <w:tc>
          <w:tcPr>
            <w:tcW w:type="dxa" w:w="3100"/>
          </w:tcPr>
          <w:p>
            <w:pPr>
              <w:spacing w:before="20" w:after="20"/>
            </w:pPr>
            <w:r>
              <w:rPr>
                <w:rFonts w:ascii="Calibri" w:hAnsi="Calibri"/>
                <w:b w:val="0"/>
                <w:i w:val="0"/>
                <w:color w:val="1A2B33"/>
                <w:sz w:val="18"/>
              </w:rPr>
              <w:t>Independiente de entradas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593"/>
        <w:gridCol w:w="593"/>
        <w:gridCol w:w="593"/>
        <w:gridCol w:w="593"/>
        <w:gridCol w:w="593"/>
        <w:gridCol w:w="593"/>
        <w:gridCol w:w="593"/>
        <w:gridCol w:w="593"/>
        <w:gridCol w:w="593"/>
        <w:gridCol w:w="593"/>
        <w:gridCol w:w="593"/>
        <w:gridCol w:w="593"/>
        <w:gridCol w:w="593"/>
        <w:gridCol w:w="593"/>
        <w:gridCol w:w="593"/>
        <w:gridCol w:w="593"/>
        <w:gridCol w:w="593"/>
      </w:tblGrid>
      <w:tr>
        <w:tc>
          <w:tcPr>
            <w:tcW w:type="dxa" w:w="593"/>
            <w:shd w:val="clear" w:color="auto" w:fill="EDF2F1"/>
          </w:tcPr>
          <w:p>
            <w:pPr>
              <w:spacing w:before="20" w:after="20"/>
              <w:jc w:val="center"/>
            </w:pPr>
            <w:r>
              <w:rPr>
                <w:rFonts w:ascii="Calibri" w:hAnsi="Calibri"/>
                <w:b/>
                <w:i w:val="0"/>
                <w:color w:val="0A3E3A"/>
                <w:sz w:val="15"/>
              </w:rPr>
              <w:t>INICIO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DATOS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MEDICIONES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(M41/M36/M12/M16/M34)</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SEGUIMIENTO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CURVAS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RESULTADOS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AUDITORIA_INTEGRACION</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MEDICIONES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SEGUIMIENTO</w:t>
            </w:r>
          </w:p>
        </w:tc>
        <w:tc>
          <w:tcPr>
            <w:tcW w:type="dxa" w:w="5760"/>
            <w:shd w:val="clear" w:color="auto" w:fill="F6F8F8"/>
          </w:tcPr>
          <w:p>
            <w:pPr>
              <w:spacing w:before="20" w:after="20"/>
            </w:pPr>
            <w:r>
              <w:rPr>
                <w:rFonts w:ascii="Calibri" w:hAnsi="Calibri"/>
                <w:b w:val="0"/>
                <w:i w:val="0"/>
                <w:color w:val="1A2B33"/>
                <w:sz w:val="18"/>
              </w:rPr>
              <w:t>RESULTADOS</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63 hojas (62 visibles y 1 ocultas o auxiliares). Incorpora aproximadamente 1041 fórmulas, 4 gráficos, 2 tablas estructuradas y 38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Adulto ficticio evaluado íntegramente (usar código).</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registran las mediciones una sola vez en el libro.</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Los módulos calculan composición, somatotipo, ETM y edad metabólica.</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seguimiento y la auditoría de integración cierran la evaluación.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ECUACIÓN</w:t>
            </w:r>
          </w:p>
        </w:tc>
        <w:tc>
          <w:tcPr>
            <w:tcW w:type="dxa" w:w="2600"/>
          </w:tcPr>
          <w:p>
            <w:pPr>
              <w:spacing w:before="20" w:after="20"/>
            </w:pPr>
            <w:r>
              <w:rPr>
                <w:rFonts w:ascii="Calibri" w:hAnsi="Calibri"/>
                <w:b w:val="0"/>
                <w:i w:val="0"/>
                <w:color w:val="1A2B33"/>
                <w:sz w:val="18"/>
              </w:rPr>
              <w:t>Pliegues (JP/DW/Faulkner), Siri/Brožek, Heath–Carter, ETM</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Composición/forma/fiabilidad</w:t>
            </w:r>
          </w:p>
        </w:tc>
        <w:tc>
          <w:tcPr>
            <w:tcW w:type="dxa" w:w="2000"/>
          </w:tcPr>
          <w:p>
            <w:pPr>
              <w:spacing w:before="20" w:after="20"/>
            </w:pPr>
            <w:r>
              <w:rPr>
                <w:rFonts w:ascii="Calibri" w:hAnsi="Calibri"/>
                <w:b w:val="0"/>
                <w:i w:val="0"/>
                <w:color w:val="1A2B33"/>
                <w:sz w:val="18"/>
              </w:rPr>
              <w:t>Ecuaciones no intercambiables</w:t>
            </w:r>
          </w:p>
        </w:tc>
      </w:tr>
      <w:tr>
        <w:tc>
          <w:tcPr>
            <w:tcW w:type="dxa" w:w="1500"/>
            <w:shd w:val="clear" w:color="auto" w:fill="F6F8F8"/>
          </w:tcPr>
          <w:p>
            <w:pPr>
              <w:spacing w:before="20" w:after="20"/>
            </w:pPr>
            <w:r>
              <w:rPr>
                <w:rFonts w:ascii="Calibri" w:hAnsi="Calibri"/>
                <w:b w:val="0"/>
                <w:i w:val="0"/>
                <w:color w:val="1A2B33"/>
                <w:sz w:val="18"/>
              </w:rPr>
              <w:t>DECISIÓN_DE_INGENIERÍA</w:t>
            </w:r>
          </w:p>
        </w:tc>
        <w:tc>
          <w:tcPr>
            <w:tcW w:type="dxa" w:w="2600"/>
            <w:shd w:val="clear" w:color="auto" w:fill="F6F8F8"/>
          </w:tcPr>
          <w:p>
            <w:pPr>
              <w:spacing w:before="20" w:after="20"/>
            </w:pPr>
            <w:r>
              <w:rPr>
                <w:rFonts w:ascii="Calibri" w:hAnsi="Calibri"/>
                <w:b w:val="0"/>
                <w:i w:val="0"/>
                <w:color w:val="1A2B33"/>
                <w:sz w:val="18"/>
              </w:rPr>
              <w:t>Integración modular en un archivo (M-prefijos)</w:t>
            </w:r>
          </w:p>
        </w:tc>
        <w:tc>
          <w:tcPr>
            <w:tcW w:type="dxa" w:w="1500"/>
            <w:shd w:val="clear" w:color="auto" w:fill="F6F8F8"/>
          </w:tcPr>
          <w:p>
            <w:pPr>
              <w:spacing w:before="20" w:after="20"/>
            </w:pPr>
            <w:r>
              <w:rPr>
                <w:rFonts w:ascii="Calibri" w:hAnsi="Calibri"/>
                <w:b w:val="0"/>
                <w:i w:val="0"/>
                <w:color w:val="1A2B33"/>
                <w:sz w:val="18"/>
              </w:rPr>
              <w:t>Adultos</w:t>
            </w:r>
          </w:p>
        </w:tc>
        <w:tc>
          <w:tcPr>
            <w:tcW w:type="dxa" w:w="1760"/>
            <w:shd w:val="clear" w:color="auto" w:fill="F6F8F8"/>
          </w:tcPr>
          <w:p>
            <w:pPr>
              <w:spacing w:before="20" w:after="20"/>
            </w:pPr>
            <w:r>
              <w:rPr>
                <w:rFonts w:ascii="Calibri" w:hAnsi="Calibri"/>
                <w:b w:val="0"/>
                <w:i w:val="0"/>
                <w:color w:val="1A2B33"/>
                <w:sz w:val="18"/>
              </w:rPr>
              <w:t>Suite integrada</w:t>
            </w:r>
          </w:p>
        </w:tc>
        <w:tc>
          <w:tcPr>
            <w:tcW w:type="dxa" w:w="2000"/>
            <w:shd w:val="clear" w:color="auto" w:fill="F6F8F8"/>
          </w:tcPr>
          <w:p>
            <w:pPr>
              <w:spacing w:before="20" w:after="20"/>
            </w:pPr>
            <w:r>
              <w:rPr>
                <w:rFonts w:ascii="Calibri" w:hAnsi="Calibri"/>
                <w:b w:val="0"/>
                <w:i w:val="0"/>
                <w:color w:val="1A2B33"/>
                <w:sz w:val="18"/>
              </w:rPr>
              <w:t>Alcance adulto, sin extrapolación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ISAK</w:t>
            </w:r>
          </w:p>
        </w:tc>
        <w:tc>
          <w:tcPr>
            <w:tcW w:type="dxa" w:w="2600"/>
          </w:tcPr>
          <w:p>
            <w:pPr>
              <w:spacing w:before="20" w:after="20"/>
            </w:pPr>
            <w:r>
              <w:rPr>
                <w:rFonts w:ascii="Calibri" w:hAnsi="Calibri"/>
                <w:b w:val="0"/>
                <w:i w:val="0"/>
                <w:color w:val="1A2B33"/>
                <w:sz w:val="17"/>
              </w:rPr>
              <w:t>Protocolo de medición</w:t>
            </w:r>
          </w:p>
        </w:tc>
        <w:tc>
          <w:tcPr>
            <w:tcW w:type="dxa" w:w="700"/>
          </w:tcPr>
          <w:p>
            <w:pPr>
              <w:spacing w:before="20" w:after="20"/>
            </w:pPr>
            <w:r>
              <w:rPr>
                <w:rFonts w:ascii="Calibri" w:hAnsi="Calibri"/>
                <w:b w:val="0"/>
                <w:i w:val="0"/>
                <w:color w:val="1A2B33"/>
                <w:sz w:val="17"/>
              </w:rPr>
              <w:t>s/f</w:t>
            </w:r>
          </w:p>
        </w:tc>
        <w:tc>
          <w:tcPr>
            <w:tcW w:type="dxa" w:w="2160"/>
          </w:tcPr>
          <w:p>
            <w:pPr>
              <w:spacing w:before="20" w:after="20"/>
            </w:pPr>
            <w:r>
              <w:rPr>
                <w:rFonts w:ascii="Calibri" w:hAnsi="Calibri"/>
                <w:b w:val="0"/>
                <w:i w:val="0"/>
                <w:color w:val="1A2B33"/>
                <w:sz w:val="17"/>
              </w:rPr>
              <w:t>Técnica antropométrica</w:t>
            </w:r>
          </w:p>
        </w:tc>
        <w:tc>
          <w:tcPr>
            <w:tcW w:type="dxa" w:w="1700"/>
          </w:tcPr>
          <w:p>
            <w:pPr>
              <w:spacing w:before="20" w:after="20"/>
            </w:pPr>
            <w:r>
              <w:rPr>
                <w:rFonts w:ascii="Calibri" w:hAnsi="Calibri"/>
                <w:b w:val="0"/>
                <w:i w:val="0"/>
                <w:color w:val="1A2B33"/>
                <w:sz w:val="17"/>
              </w:rPr>
              <w:t>MANUAL</w:t>
            </w:r>
          </w:p>
        </w:tc>
      </w:tr>
      <w:tr>
        <w:tc>
          <w:tcPr>
            <w:tcW w:type="dxa" w:w="2200"/>
            <w:shd w:val="clear" w:color="auto" w:fill="F6F8F8"/>
          </w:tcPr>
          <w:p>
            <w:pPr>
              <w:spacing w:before="20" w:after="20"/>
            </w:pPr>
            <w:r>
              <w:rPr>
                <w:rFonts w:ascii="Calibri" w:hAnsi="Calibri"/>
                <w:b w:val="0"/>
                <w:i w:val="0"/>
                <w:color w:val="1A2B33"/>
                <w:sz w:val="17"/>
              </w:rPr>
              <w:t>Jackson–Pollock, Durnin–Womersley, Faulkner, Siri, Brožek</w:t>
            </w:r>
          </w:p>
        </w:tc>
        <w:tc>
          <w:tcPr>
            <w:tcW w:type="dxa" w:w="2600"/>
            <w:shd w:val="clear" w:color="auto" w:fill="F6F8F8"/>
          </w:tcPr>
          <w:p>
            <w:pPr>
              <w:spacing w:before="20" w:after="20"/>
            </w:pPr>
            <w:r>
              <w:rPr>
                <w:rFonts w:ascii="Calibri" w:hAnsi="Calibri"/>
                <w:b w:val="0"/>
                <w:i w:val="0"/>
                <w:color w:val="1A2B33"/>
                <w:sz w:val="17"/>
              </w:rPr>
              <w:t>Ecuaciones de composición (hechos no protegibles)</w:t>
            </w:r>
          </w:p>
        </w:tc>
        <w:tc>
          <w:tcPr>
            <w:tcW w:type="dxa" w:w="700"/>
            <w:shd w:val="clear" w:color="auto" w:fill="F6F8F8"/>
          </w:tcPr>
          <w:p>
            <w:pPr>
              <w:spacing w:before="20" w:after="20"/>
            </w:pPr>
            <w:r>
              <w:rPr>
                <w:rFonts w:ascii="Calibri" w:hAnsi="Calibri"/>
                <w:b w:val="0"/>
                <w:i w:val="0"/>
                <w:color w:val="1A2B33"/>
                <w:sz w:val="17"/>
              </w:rPr>
              <w:t>1961–1980</w:t>
            </w:r>
          </w:p>
        </w:tc>
        <w:tc>
          <w:tcPr>
            <w:tcW w:type="dxa" w:w="2160"/>
            <w:shd w:val="clear" w:color="auto" w:fill="F6F8F8"/>
          </w:tcPr>
          <w:p>
            <w:pPr>
              <w:spacing w:before="20" w:after="20"/>
            </w:pPr>
            <w:r>
              <w:rPr>
                <w:rFonts w:ascii="Calibri" w:hAnsi="Calibri"/>
                <w:b w:val="0"/>
                <w:i w:val="0"/>
                <w:color w:val="1A2B33"/>
                <w:sz w:val="17"/>
              </w:rPr>
              <w:t>Estimación de grasa</w:t>
            </w:r>
          </w:p>
        </w:tc>
        <w:tc>
          <w:tcPr>
            <w:tcW w:type="dxa" w:w="1700"/>
            <w:shd w:val="clear" w:color="auto" w:fill="F6F8F8"/>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Alcance solo adultos, sin extrapolación. Las ecuaciones de pliegues no son intercambiables. Usar códigos, sin datos identificables.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NMX-28-PACK · Guía del Pack de Antropometría (HUB)</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NMX-41 · Software Acompañante para Plicómetro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NMX-36 · Calculadora Especializada de Plicometría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NMX-12 · Calculadora de Grasa y Composición Corporal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NMX-16 · Calculadora de Somatotipo y Somatocarta (Heath–Carter)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NMX-34 · Indicador Educativo de Edad Metabólica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NMX-06 · Registro y Seguimiento de Composición Corporal</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NMX-28-INTEGRADO</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NMX-28_Integrado_v2_1_UDD_18CA_CORREGIDO_COMERCIAL_PRE_P19_REPARADO_PRE_P19.xlsx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v2.1</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17   </w:t>
            </w:r>
            <w:r>
              <w:rPr>
                <w:rFonts w:ascii="Calibri" w:hAnsi="Calibri"/>
                <w:b/>
                <w:i w:val="0"/>
                <w:color w:val="FFFFFF"/>
                <w:sz w:val="25"/>
              </w:rPr>
              <w:t>DIFERENCIACIÓN DE PRODUCTO</w:t>
            </w:r>
          </w:p>
        </w:tc>
      </w:tr>
    </w:tbl>
    <w:p>
      <w:pPr>
        <w:spacing w:after="40"/>
      </w:pPr>
    </w:p>
    <w:p>
      <w:pPr>
        <w:spacing w:before="40" w:after="80" w:line="276" w:lineRule="auto"/>
      </w:pPr>
      <w:r>
        <w:rPr>
          <w:rFonts w:ascii="Calibri" w:hAnsi="Calibri"/>
          <w:b w:val="0"/>
          <w:i w:val="0"/>
          <w:color w:val="1A2B33"/>
          <w:sz w:val="20"/>
        </w:rPr>
        <w:t>Frente a NMX-28-PACK: este es la SUITE INTEGRADA en un ÚNICO archivo (63 hojas, módulos M-prefijados).</w:t>
      </w:r>
    </w:p>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NMX-28-INTEGRADO · Pack Antropometría Integrado (un solo archivo)</w:t>
            </w:r>
          </w:p>
          <w:p>
            <w:pPr>
              <w:spacing w:before="80" w:after="0"/>
              <w:jc w:val="center"/>
            </w:pPr>
            <w:r>
              <w:rPr>
                <w:rFonts w:ascii="Calibri" w:hAnsi="Calibri"/>
                <w:b w:val="0"/>
                <w:i w:val="0"/>
                <w:color w:val="EDF2F1"/>
                <w:sz w:val="20"/>
              </w:rPr>
              <w:t>Fase 7 · Antropometría · v2.1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NMX-28-INTEGRADO · Pack Antropometría Integrado (un solo archivo)</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