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NMX-28-PACK</w:t>
      </w:r>
    </w:p>
    <w:p>
      <w:pPr>
        <w:spacing w:before="0" w:after="160" w:line="252" w:lineRule="auto"/>
      </w:pPr>
      <w:r>
        <w:rPr>
          <w:rFonts w:ascii="Calibri" w:hAnsi="Calibri"/>
          <w:b/>
          <w:i w:val="0"/>
          <w:color w:val="1A2B33"/>
          <w:sz w:val="38"/>
        </w:rPr>
        <w:t>Guía del Pack de Antropometría (HUB)</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7 · Antropometría</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Guía/mapa de paquete (documentación)</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v1.0</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(declarado). Estructura de guía (10 hojas).</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NMX-28_Pack_Antropometria_v1_0(4)_COMERCIAL_PRE_P19_REPARADO_PRE_P19.xlsx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NMX-28-PACK · Guía del Pack de Antropometría (HUB)</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7 · Antropometría</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Guía/mapa de paquete (documentación)</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Documentar y orientar el uso de los cinco componentes de antropometría como archivos separados, con su catálogo, flujo, conexiones y licencias — sin integración automática.</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Otros: Consulta/orientación (no calcula; los datos se traspasan manualmente entre archivos)</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Mapa del pack; Condiciones de distribución</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v1.0</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(declarado). Estructura de guía (10 hojas).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NMX-28-PACK (versión 1.0.1) es la GUÍA del pack de antropometría: NO es un motor de cálculo, sino un HUB documental que describe cinco archivos independientes (NMX-41, NMX-36, NMX-12, NMX-16 y NMX-34), su catálogo, el flujo recomendado, las conexiones (traspaso de datos MANUAL, sin vínculos ni integración automática), la licencia y la verificación de integridad. Su estado de distribución es LIBRE porque ningún componente incorpora la base INTA. Pertenece a la Fase 7 y se contrasta con NMX-28-INTEGRADO, que reúne todo en un solo archivo.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Documentar y orientar el uso de los cinco componentes de antropometría como archivos separados, con su catálogo, flujo, conexiones y licencias — sin integración automática.</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Presentar los cinco componentes del pack.</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Indicar el orden de uso y qué dato pasa a cuál (manual).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Documentar licencias y verificación de integridad.</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Adultos; documenta cinco archivos INDEPENDIENTES (NMX-41, 36, 12, 16, 34), traspaso de datos MANUAL.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Catálogo de componentes</w:t>
            </w:r>
          </w:p>
        </w:tc>
        <w:tc>
          <w:tcPr>
            <w:tcW w:type="dxa" w:w="2500"/>
          </w:tcPr>
          <w:p>
            <w:pPr>
              <w:spacing w:before="20" w:after="20"/>
            </w:pPr>
            <w:r>
              <w:rPr>
                <w:rFonts w:ascii="Calibri" w:hAnsi="Calibri"/>
                <w:b w:val="0"/>
                <w:i w:val="0"/>
                <w:color w:val="1A2B33"/>
                <w:sz w:val="18"/>
              </w:rPr>
              <w:t>Lista y describe los 5 archivos</w:t>
            </w:r>
          </w:p>
        </w:tc>
        <w:tc>
          <w:tcPr>
            <w:tcW w:type="dxa" w:w="2000"/>
          </w:tcPr>
          <w:p>
            <w:pPr>
              <w:spacing w:before="20" w:after="20"/>
            </w:pPr>
            <w:r>
              <w:rPr>
                <w:rFonts w:ascii="Calibri" w:hAnsi="Calibri"/>
                <w:b w:val="0"/>
                <w:i w:val="0"/>
                <w:color w:val="1A2B33"/>
                <w:sz w:val="18"/>
              </w:rPr>
              <w:t>Consulta</w:t>
            </w:r>
          </w:p>
        </w:tc>
        <w:tc>
          <w:tcPr>
            <w:tcW w:type="dxa" w:w="2160"/>
          </w:tcPr>
          <w:p>
            <w:pPr>
              <w:spacing w:before="20" w:after="20"/>
            </w:pPr>
            <w:r>
              <w:rPr>
                <w:rFonts w:ascii="Calibri" w:hAnsi="Calibri"/>
                <w:b w:val="0"/>
                <w:i w:val="0"/>
                <w:color w:val="1A2B33"/>
                <w:sz w:val="18"/>
              </w:rPr>
              <w:t>Catálogo del pack</w:t>
            </w:r>
          </w:p>
        </w:tc>
        <w:tc>
          <w:tcPr>
            <w:tcW w:type="dxa" w:w="1200"/>
          </w:tcPr>
          <w:p>
            <w:pPr>
              <w:spacing w:before="20" w:after="20"/>
            </w:pPr>
            <w:r>
              <w:rPr>
                <w:rFonts w:ascii="Calibri" w:hAnsi="Calibri"/>
                <w:b w:val="0"/>
                <w:i w:val="0"/>
                <w:color w:val="1A2B33"/>
                <w:sz w:val="18"/>
              </w:rPr>
              <w:t>Básico</w:t>
            </w:r>
          </w:p>
        </w:tc>
      </w:tr>
      <w:tr>
        <w:tc>
          <w:tcPr>
            <w:tcW w:type="dxa" w:w="1500"/>
            <w:shd w:val="clear" w:color="auto" w:fill="F6F8F8"/>
          </w:tcPr>
          <w:p>
            <w:pPr>
              <w:spacing w:before="20" w:after="20"/>
            </w:pPr>
            <w:r>
              <w:rPr>
                <w:rFonts w:ascii="Calibri" w:hAnsi="Calibri"/>
                <w:b w:val="0"/>
                <w:i w:val="0"/>
                <w:color w:val="1A2B33"/>
                <w:sz w:val="18"/>
              </w:rPr>
              <w:t>Flujo y conexiones</w:t>
            </w:r>
          </w:p>
        </w:tc>
        <w:tc>
          <w:tcPr>
            <w:tcW w:type="dxa" w:w="2500"/>
            <w:shd w:val="clear" w:color="auto" w:fill="F6F8F8"/>
          </w:tcPr>
          <w:p>
            <w:pPr>
              <w:spacing w:before="20" w:after="20"/>
            </w:pPr>
            <w:r>
              <w:rPr>
                <w:rFonts w:ascii="Calibri" w:hAnsi="Calibri"/>
                <w:b w:val="0"/>
                <w:i w:val="0"/>
                <w:color w:val="1A2B33"/>
                <w:sz w:val="18"/>
              </w:rPr>
              <w:t>Indica orden y traspaso manual de datos</w:t>
            </w:r>
          </w:p>
        </w:tc>
        <w:tc>
          <w:tcPr>
            <w:tcW w:type="dxa" w:w="2000"/>
            <w:shd w:val="clear" w:color="auto" w:fill="F6F8F8"/>
          </w:tcPr>
          <w:p>
            <w:pPr>
              <w:spacing w:before="20" w:after="20"/>
            </w:pPr>
            <w:r>
              <w:rPr>
                <w:rFonts w:ascii="Calibri" w:hAnsi="Calibri"/>
                <w:b w:val="0"/>
                <w:i w:val="0"/>
                <w:color w:val="1A2B33"/>
                <w:sz w:val="18"/>
              </w:rPr>
              <w:t>Consulta</w:t>
            </w:r>
          </w:p>
        </w:tc>
        <w:tc>
          <w:tcPr>
            <w:tcW w:type="dxa" w:w="2160"/>
            <w:shd w:val="clear" w:color="auto" w:fill="F6F8F8"/>
          </w:tcPr>
          <w:p>
            <w:pPr>
              <w:spacing w:before="20" w:after="20"/>
            </w:pPr>
            <w:r>
              <w:rPr>
                <w:rFonts w:ascii="Calibri" w:hAnsi="Calibri"/>
                <w:b w:val="0"/>
                <w:i w:val="0"/>
                <w:color w:val="1A2B33"/>
                <w:sz w:val="18"/>
              </w:rPr>
              <w:t>Mapa de uso</w:t>
            </w:r>
          </w:p>
        </w:tc>
        <w:tc>
          <w:tcPr>
            <w:tcW w:type="dxa" w:w="1200"/>
            <w:shd w:val="clear" w:color="auto" w:fill="F6F8F8"/>
          </w:tcPr>
          <w:p>
            <w:pPr>
              <w:spacing w:before="20" w:after="20"/>
            </w:pPr>
            <w:r>
              <w:rPr>
                <w:rFonts w:ascii="Calibri" w:hAnsi="Calibri"/>
                <w:b w:val="0"/>
                <w:i w:val="0"/>
                <w:color w:val="1A2B33"/>
                <w:sz w:val="18"/>
              </w:rPr>
              <w:t>Básico</w:t>
            </w:r>
          </w:p>
        </w:tc>
      </w:tr>
      <w:tr>
        <w:tc>
          <w:tcPr>
            <w:tcW w:type="dxa" w:w="1500"/>
          </w:tcPr>
          <w:p>
            <w:pPr>
              <w:spacing w:before="20" w:after="20"/>
            </w:pPr>
            <w:r>
              <w:rPr>
                <w:rFonts w:ascii="Calibri" w:hAnsi="Calibri"/>
                <w:b w:val="0"/>
                <w:i w:val="0"/>
                <w:color w:val="1A2B33"/>
                <w:sz w:val="18"/>
              </w:rPr>
              <w:t>Licencia e integridad</w:t>
            </w:r>
          </w:p>
        </w:tc>
        <w:tc>
          <w:tcPr>
            <w:tcW w:type="dxa" w:w="2500"/>
          </w:tcPr>
          <w:p>
            <w:pPr>
              <w:spacing w:before="20" w:after="20"/>
            </w:pPr>
            <w:r>
              <w:rPr>
                <w:rFonts w:ascii="Calibri" w:hAnsi="Calibri"/>
                <w:b w:val="0"/>
                <w:i w:val="0"/>
                <w:color w:val="1A2B33"/>
                <w:sz w:val="18"/>
              </w:rPr>
              <w:t>Documenta licencias y verificación</w:t>
            </w:r>
          </w:p>
        </w:tc>
        <w:tc>
          <w:tcPr>
            <w:tcW w:type="dxa" w:w="2000"/>
          </w:tcPr>
          <w:p>
            <w:pPr>
              <w:spacing w:before="20" w:after="20"/>
            </w:pPr>
            <w:r>
              <w:rPr>
                <w:rFonts w:ascii="Calibri" w:hAnsi="Calibri"/>
                <w:b w:val="0"/>
                <w:i w:val="0"/>
                <w:color w:val="1A2B33"/>
                <w:sz w:val="18"/>
              </w:rPr>
              <w:t>Consulta</w:t>
            </w:r>
          </w:p>
        </w:tc>
        <w:tc>
          <w:tcPr>
            <w:tcW w:type="dxa" w:w="2160"/>
          </w:tcPr>
          <w:p>
            <w:pPr>
              <w:spacing w:before="20" w:after="20"/>
            </w:pPr>
            <w:r>
              <w:rPr>
                <w:rFonts w:ascii="Calibri" w:hAnsi="Calibri"/>
                <w:b w:val="0"/>
                <w:i w:val="0"/>
                <w:color w:val="1A2B33"/>
                <w:sz w:val="18"/>
              </w:rPr>
              <w:t>Estado de distribución</w:t>
            </w:r>
          </w:p>
        </w:tc>
        <w:tc>
          <w:tcPr>
            <w:tcW w:type="dxa" w:w="1200"/>
          </w:tcPr>
          <w:p>
            <w:pPr>
              <w:spacing w:before="20" w:after="20"/>
            </w:pPr>
            <w:r>
              <w:rPr>
                <w:rFonts w:ascii="Calibri" w:hAnsi="Calibri"/>
                <w:b w:val="0"/>
                <w:i w:val="0"/>
                <w:color w:val="1A2B33"/>
                <w:sz w:val="18"/>
              </w:rPr>
              <w:t>Básico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Otros</w:t>
      </w:r>
    </w:p>
    <w:p>
      <w:pPr>
        <w:spacing w:before="40" w:after="60" w:line="276" w:lineRule="auto"/>
      </w:pPr>
      <w:r>
        <w:rPr>
          <w:rFonts w:ascii="Calibri" w:hAnsi="Calibri"/>
          <w:b w:val="0"/>
          <w:i w:val="0"/>
          <w:color w:val="1A2B33"/>
          <w:sz w:val="19"/>
        </w:rPr>
        <w:t>Consulta/orientación (no calcula; los datos se traspasan manualmente entre archivos)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Mapa del pack</w:t>
            </w:r>
          </w:p>
        </w:tc>
        <w:tc>
          <w:tcPr>
            <w:tcW w:type="dxa" w:w="1700"/>
          </w:tcPr>
          <w:p>
            <w:pPr>
              <w:spacing w:before="20" w:after="20"/>
            </w:pPr>
            <w:r>
              <w:rPr>
                <w:rFonts w:ascii="Calibri" w:hAnsi="Calibri"/>
                <w:b w:val="0"/>
                <w:i w:val="0"/>
                <w:color w:val="1A2B33"/>
                <w:sz w:val="18"/>
              </w:rPr>
              <w:t>REGISTRO</w:t>
            </w:r>
          </w:p>
        </w:tc>
        <w:tc>
          <w:tcPr>
            <w:tcW w:type="dxa" w:w="1560"/>
          </w:tcPr>
          <w:p>
            <w:pPr>
              <w:spacing w:before="20" w:after="20"/>
            </w:pPr>
            <w:r>
              <w:rPr>
                <w:rFonts w:ascii="Calibri" w:hAnsi="Calibri"/>
                <w:b w:val="0"/>
                <w:i w:val="0"/>
                <w:color w:val="1A2B33"/>
                <w:sz w:val="18"/>
              </w:rPr>
              <w:t>n/a</w:t>
            </w:r>
          </w:p>
        </w:tc>
        <w:tc>
          <w:tcPr>
            <w:tcW w:type="dxa" w:w="3100"/>
          </w:tcPr>
          <w:p>
            <w:pPr>
              <w:spacing w:before="20" w:after="20"/>
            </w:pPr>
            <w:r>
              <w:rPr>
                <w:rFonts w:ascii="Calibri" w:hAnsi="Calibri"/>
                <w:b w:val="0"/>
                <w:i w:val="0"/>
                <w:color w:val="1A2B33"/>
                <w:sz w:val="18"/>
              </w:rPr>
              <w:t>Independiente de entradas</w:t>
            </w:r>
          </w:p>
        </w:tc>
      </w:tr>
      <w:tr>
        <w:tc>
          <w:tcPr>
            <w:tcW w:type="dxa" w:w="3000"/>
            <w:shd w:val="clear" w:color="auto" w:fill="F6F8F8"/>
          </w:tcPr>
          <w:p>
            <w:pPr>
              <w:spacing w:before="20" w:after="20"/>
            </w:pPr>
            <w:r>
              <w:rPr>
                <w:rFonts w:ascii="Calibri" w:hAnsi="Calibri"/>
                <w:b w:val="0"/>
                <w:i w:val="0"/>
                <w:color w:val="1A2B33"/>
                <w:sz w:val="18"/>
              </w:rPr>
              <w:t>Condiciones de distribución</w:t>
            </w:r>
          </w:p>
        </w:tc>
        <w:tc>
          <w:tcPr>
            <w:tcW w:type="dxa" w:w="1700"/>
            <w:shd w:val="clear" w:color="auto" w:fill="F6F8F8"/>
          </w:tcPr>
          <w:p>
            <w:pPr>
              <w:spacing w:before="20" w:after="20"/>
            </w:pPr>
            <w:r>
              <w:rPr>
                <w:rFonts w:ascii="Calibri" w:hAnsi="Calibri"/>
                <w:b w:val="0"/>
                <w:i w:val="0"/>
                <w:color w:val="1A2B33"/>
                <w:sz w:val="18"/>
              </w:rPr>
              <w:t>REGISTRO</w:t>
            </w:r>
          </w:p>
        </w:tc>
        <w:tc>
          <w:tcPr>
            <w:tcW w:type="dxa" w:w="1560"/>
            <w:shd w:val="clear" w:color="auto" w:fill="F6F8F8"/>
          </w:tcPr>
          <w:p>
            <w:pPr>
              <w:spacing w:before="20" w:after="20"/>
            </w:pPr>
            <w:r>
              <w:rPr>
                <w:rFonts w:ascii="Calibri" w:hAnsi="Calibri"/>
                <w:b w:val="0"/>
                <w:i w:val="0"/>
                <w:color w:val="1A2B33"/>
                <w:sz w:val="18"/>
              </w:rPr>
              <w:t>n/a</w:t>
            </w:r>
          </w:p>
        </w:tc>
        <w:tc>
          <w:tcPr>
            <w:tcW w:type="dxa" w:w="3100"/>
            <w:shd w:val="clear" w:color="auto" w:fill="F6F8F8"/>
          </w:tcPr>
          <w:p>
            <w:pPr>
              <w:spacing w:before="20" w:after="20"/>
            </w:pPr>
            <w:r>
              <w:rPr>
                <w:rFonts w:ascii="Calibri" w:hAnsi="Calibri"/>
                <w:b w:val="0"/>
                <w:i w:val="0"/>
                <w:color w:val="1A2B33"/>
                <w:sz w:val="18"/>
              </w:rPr>
              <w:t>Independiente de entradas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CATALOGO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FLUJO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CONEXIONES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LICENCIA</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VERIFICACION</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CATALOGO</w:t>
            </w:r>
          </w:p>
        </w:tc>
        <w:tc>
          <w:tcPr>
            <w:tcW w:type="dxa" w:w="5760"/>
            <w:shd w:val="clear" w:color="auto" w:fill="F6F8F8"/>
          </w:tcPr>
          <w:p>
            <w:pPr>
              <w:spacing w:before="20" w:after="20"/>
            </w:pPr>
            <w:r>
              <w:rPr>
                <w:rFonts w:ascii="Calibri" w:hAnsi="Calibri"/>
                <w:b w:val="0"/>
                <w:i w:val="0"/>
                <w:color w:val="1A2B33"/>
                <w:sz w:val="18"/>
              </w:rPr>
              <w:t>OTRA_RELEVANTE</w:t>
            </w:r>
          </w:p>
        </w:tc>
      </w:tr>
      <w:tr>
        <w:tc>
          <w:tcPr>
            <w:tcW w:type="dxa" w:w="3600"/>
          </w:tcPr>
          <w:p>
            <w:pPr>
              <w:spacing w:before="20" w:after="20"/>
            </w:pPr>
            <w:r>
              <w:rPr>
                <w:rFonts w:ascii="Calibri" w:hAnsi="Calibri"/>
                <w:b w:val="0"/>
                <w:i w:val="0"/>
                <w:color w:val="1A2B33"/>
                <w:sz w:val="18"/>
              </w:rPr>
              <w:t>FLUJO</w:t>
            </w:r>
          </w:p>
        </w:tc>
        <w:tc>
          <w:tcPr>
            <w:tcW w:type="dxa" w:w="5760"/>
          </w:tcPr>
          <w:p>
            <w:pPr>
              <w:spacing w:before="20" w:after="20"/>
            </w:pPr>
            <w:r>
              <w:rPr>
                <w:rFonts w:ascii="Calibri" w:hAnsi="Calibri"/>
                <w:b w:val="0"/>
                <w:i w:val="0"/>
                <w:color w:val="1A2B33"/>
                <w:sz w:val="18"/>
              </w:rPr>
              <w:t>OTRA_RELEVANTE</w:t>
            </w:r>
          </w:p>
        </w:tc>
      </w:tr>
      <w:tr>
        <w:tc>
          <w:tcPr>
            <w:tcW w:type="dxa" w:w="3600"/>
            <w:shd w:val="clear" w:color="auto" w:fill="F6F8F8"/>
          </w:tcPr>
          <w:p>
            <w:pPr>
              <w:spacing w:before="20" w:after="20"/>
            </w:pPr>
            <w:r>
              <w:rPr>
                <w:rFonts w:ascii="Calibri" w:hAnsi="Calibri"/>
                <w:b w:val="0"/>
                <w:i w:val="0"/>
                <w:color w:val="1A2B33"/>
                <w:sz w:val="18"/>
              </w:rPr>
              <w:t>LICENCIA</w:t>
            </w:r>
          </w:p>
        </w:tc>
        <w:tc>
          <w:tcPr>
            <w:tcW w:type="dxa" w:w="5760"/>
            <w:shd w:val="clear" w:color="auto" w:fill="F6F8F8"/>
          </w:tcPr>
          <w:p>
            <w:pPr>
              <w:spacing w:before="20" w:after="20"/>
            </w:pPr>
            <w:r>
              <w:rPr>
                <w:rFonts w:ascii="Calibri" w:hAnsi="Calibri"/>
                <w:b w:val="0"/>
                <w:i w:val="0"/>
                <w:color w:val="1A2B33"/>
                <w:sz w:val="18"/>
              </w:rPr>
              <w:t>OTRA_RELEVANTE</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10 hojas (7 visibles y 3 ocultas o auxiliares). Incorpora aproximadamente 64 fórmulas, 0 gráficos, 0 tablas estructuradas y 0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Usuario que quiere evaluar composición corporal con el pack.</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Consulta el catálogo y el flujo recomendado en la guía.</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Usa NMX-36/12/16/41 por separado y traspasa los datos a mano.</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La guía asegura el orden y las condiciones de licencia.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DECISIÓN_DE_INGENIERÍA</w:t>
            </w:r>
          </w:p>
        </w:tc>
        <w:tc>
          <w:tcPr>
            <w:tcW w:type="dxa" w:w="2600"/>
          </w:tcPr>
          <w:p>
            <w:pPr>
              <w:spacing w:before="20" w:after="20"/>
            </w:pPr>
            <w:r>
              <w:rPr>
                <w:rFonts w:ascii="Calibri" w:hAnsi="Calibri"/>
                <w:b w:val="0"/>
                <w:i w:val="0"/>
                <w:color w:val="1A2B33"/>
                <w:sz w:val="18"/>
              </w:rPr>
              <w:t>Cinco archivos independientes, traspaso MANUAL de datos</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Organización del pack</w:t>
            </w:r>
          </w:p>
        </w:tc>
        <w:tc>
          <w:tcPr>
            <w:tcW w:type="dxa" w:w="2000"/>
          </w:tcPr>
          <w:p>
            <w:pPr>
              <w:spacing w:before="20" w:after="20"/>
            </w:pPr>
            <w:r>
              <w:rPr>
                <w:rFonts w:ascii="Calibri" w:hAnsi="Calibri"/>
                <w:b w:val="0"/>
                <w:i w:val="0"/>
                <w:color w:val="1A2B33"/>
                <w:sz w:val="18"/>
              </w:rPr>
              <w:t>Sin integración automática</w:t>
            </w:r>
          </w:p>
        </w:tc>
      </w:tr>
      <w:tr>
        <w:tc>
          <w:tcPr>
            <w:tcW w:type="dxa" w:w="1500"/>
            <w:shd w:val="clear" w:color="auto" w:fill="F6F8F8"/>
          </w:tcPr>
          <w:p>
            <w:pPr>
              <w:spacing w:before="20" w:after="20"/>
            </w:pPr>
            <w:r>
              <w:rPr>
                <w:rFonts w:ascii="Calibri" w:hAnsi="Calibri"/>
                <w:b w:val="0"/>
                <w:i w:val="0"/>
                <w:color w:val="1A2B33"/>
                <w:sz w:val="18"/>
              </w:rPr>
              <w:t>REGLA DE IMPLEMENTACIÓN</w:t>
            </w:r>
          </w:p>
        </w:tc>
        <w:tc>
          <w:tcPr>
            <w:tcW w:type="dxa" w:w="2600"/>
            <w:shd w:val="clear" w:color="auto" w:fill="F6F8F8"/>
          </w:tcPr>
          <w:p>
            <w:pPr>
              <w:spacing w:before="20" w:after="20"/>
            </w:pPr>
            <w:r>
              <w:rPr>
                <w:rFonts w:ascii="Calibri" w:hAnsi="Calibri"/>
                <w:b w:val="0"/>
                <w:i w:val="0"/>
                <w:color w:val="1A2B33"/>
                <w:sz w:val="18"/>
              </w:rPr>
              <w:t>Distribución LIBRE (ningún componente incorpora INTA)</w:t>
            </w:r>
          </w:p>
        </w:tc>
        <w:tc>
          <w:tcPr>
            <w:tcW w:type="dxa" w:w="1500"/>
            <w:shd w:val="clear" w:color="auto" w:fill="F6F8F8"/>
          </w:tcPr>
          <w:p>
            <w:pPr>
              <w:spacing w:before="20" w:after="20"/>
            </w:pPr>
            <w:r>
              <w:rPr>
                <w:rFonts w:ascii="Calibri" w:hAnsi="Calibri"/>
                <w:b w:val="0"/>
                <w:i w:val="0"/>
                <w:color w:val="1A2B33"/>
                <w:sz w:val="18"/>
              </w:rPr>
              <w:t>Adultos</w:t>
            </w:r>
          </w:p>
        </w:tc>
        <w:tc>
          <w:tcPr>
            <w:tcW w:type="dxa" w:w="1760"/>
            <w:shd w:val="clear" w:color="auto" w:fill="F6F8F8"/>
          </w:tcPr>
          <w:p>
            <w:pPr>
              <w:spacing w:before="20" w:after="20"/>
            </w:pPr>
            <w:r>
              <w:rPr>
                <w:rFonts w:ascii="Calibri" w:hAnsi="Calibri"/>
                <w:b w:val="0"/>
                <w:i w:val="0"/>
                <w:color w:val="1A2B33"/>
                <w:sz w:val="18"/>
              </w:rPr>
              <w:t>Licencia</w:t>
            </w:r>
          </w:p>
        </w:tc>
        <w:tc>
          <w:tcPr>
            <w:tcW w:type="dxa" w:w="2000"/>
            <w:shd w:val="clear" w:color="auto" w:fill="F6F8F8"/>
          </w:tcPr>
          <w:p>
            <w:pPr>
              <w:spacing w:before="20" w:after="20"/>
            </w:pPr>
            <w:r>
              <w:rPr>
                <w:rFonts w:ascii="Calibri" w:hAnsi="Calibri"/>
                <w:b w:val="0"/>
                <w:i w:val="0"/>
                <w:color w:val="1A2B33"/>
                <w:sz w:val="18"/>
              </w:rPr>
              <w:t>Motores propios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ISAK / autores de ecuaciones</w:t>
            </w:r>
          </w:p>
        </w:tc>
        <w:tc>
          <w:tcPr>
            <w:tcW w:type="dxa" w:w="2600"/>
          </w:tcPr>
          <w:p>
            <w:pPr>
              <w:spacing w:before="20" w:after="20"/>
            </w:pPr>
            <w:r>
              <w:rPr>
                <w:rFonts w:ascii="Calibri" w:hAnsi="Calibri"/>
                <w:b w:val="0"/>
                <w:i w:val="0"/>
                <w:color w:val="1A2B33"/>
                <w:sz w:val="17"/>
              </w:rPr>
              <w:t>Alcance común documentado (detalle en NMX-15)</w:t>
            </w:r>
          </w:p>
        </w:tc>
        <w:tc>
          <w:tcPr>
            <w:tcW w:type="dxa" w:w="700"/>
          </w:tcPr>
          <w:p>
            <w:pPr>
              <w:spacing w:before="20" w:after="20"/>
            </w:pPr>
            <w:r>
              <w:rPr>
                <w:rFonts w:ascii="Calibri" w:hAnsi="Calibri"/>
                <w:b w:val="0"/>
                <w:i w:val="0"/>
                <w:color w:val="1A2B33"/>
                <w:sz w:val="17"/>
              </w:rPr>
              <w:t>s/f</w:t>
            </w:r>
          </w:p>
        </w:tc>
        <w:tc>
          <w:tcPr>
            <w:tcW w:type="dxa" w:w="2160"/>
          </w:tcPr>
          <w:p>
            <w:pPr>
              <w:spacing w:before="20" w:after="20"/>
            </w:pPr>
            <w:r>
              <w:rPr>
                <w:rFonts w:ascii="Calibri" w:hAnsi="Calibri"/>
                <w:b w:val="0"/>
                <w:i w:val="0"/>
                <w:color w:val="1A2B33"/>
                <w:sz w:val="17"/>
              </w:rPr>
              <w:t>Referencia común</w:t>
            </w:r>
          </w:p>
        </w:tc>
        <w:tc>
          <w:tcPr>
            <w:tcW w:type="dxa" w:w="1700"/>
          </w:tcPr>
          <w:p>
            <w:pPr>
              <w:spacing w:before="20" w:after="20"/>
            </w:pPr>
            <w:r>
              <w:rPr>
                <w:rFonts w:ascii="Calibri" w:hAnsi="Calibri"/>
                <w:b w:val="0"/>
                <w:i w:val="0"/>
                <w:color w:val="1A2B33"/>
                <w:sz w:val="17"/>
              </w:rPr>
              <w:t>MANUAL</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No es un motor de cálculo: es documentación. El traspaso de datos entre los cinco archivos es manual, sin vínculos ni integración automática. Alcance adulto.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NMX-28-INTEGRADO · Pack Antropometría Integrado (un solo archivo)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NMX-41 · Software Acompañante para Plicómetro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NMX-36 · Calculadora Especializada de Plicometría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NMX-12 · Calculadora de Grasa y Composición Corporal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NMX-16 · Calculadora de Somatotipo y Somatocarta (Heath–Carter)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NMX-34 · Indicador Educativo de Edad Metabólica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NMX-15 · Biblioteca Profesional de Fórmulas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NMX-28-PACK</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NMX-28_Pack_Antropometria_v1_0(4)_COMERCIAL_PRE_P19_REPARADO_PRE_P19.xlsx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v1.0</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17   </w:t>
            </w:r>
            <w:r>
              <w:rPr>
                <w:rFonts w:ascii="Calibri" w:hAnsi="Calibri"/>
                <w:b/>
                <w:i w:val="0"/>
                <w:color w:val="FFFFFF"/>
                <w:sz w:val="25"/>
              </w:rPr>
              <w:t>DIFERENCIACIÓN DE PRODUCTO</w:t>
            </w:r>
          </w:p>
        </w:tc>
      </w:tr>
    </w:tbl>
    <w:p>
      <w:pPr>
        <w:spacing w:after="40"/>
      </w:pPr>
    </w:p>
    <w:p>
      <w:pPr>
        <w:spacing w:before="40" w:after="80" w:line="276" w:lineRule="auto"/>
      </w:pPr>
      <w:r>
        <w:rPr>
          <w:rFonts w:ascii="Calibri" w:hAnsi="Calibri"/>
          <w:b w:val="0"/>
          <w:i w:val="0"/>
          <w:color w:val="1A2B33"/>
          <w:sz w:val="20"/>
        </w:rPr>
        <w:t>Frente a NMX-28-INTEGRADO: este es la GUÍA/HUB (documenta 5 archivos SEPARADOS, traspaso manual).</w:t>
      </w:r>
    </w:p>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NMX-28-PACK · Guía del Pack de Antropometría (HUB)</w:t>
            </w:r>
          </w:p>
          <w:p>
            <w:pPr>
              <w:spacing w:before="80" w:after="0"/>
              <w:jc w:val="center"/>
            </w:pPr>
            <w:r>
              <w:rPr>
                <w:rFonts w:ascii="Calibri" w:hAnsi="Calibri"/>
                <w:b w:val="0"/>
                <w:i w:val="0"/>
                <w:color w:val="EDF2F1"/>
                <w:sz w:val="20"/>
              </w:rPr>
              <w:t>Fase 7 · Antropometría · v1.0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NMX-28-PACK · Guía del Pack de Antropometría (HUB)</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