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NMX-29</w:t>
      </w:r>
    </w:p>
    <w:p>
      <w:pPr>
        <w:spacing w:before="0" w:after="160" w:line="252" w:lineRule="auto"/>
      </w:pPr>
      <w:r>
        <w:rPr>
          <w:rFonts w:ascii="Calibri" w:hAnsi="Calibri"/>
          <w:b/>
          <w:i w:val="0"/>
          <w:color w:val="1A2B33"/>
          <w:sz w:val="38"/>
        </w:rPr>
        <w:t>Recordatorio de 24 Horas Renal</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3 · Evaluación y Registro</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Evaluación dietética renal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(declarado). Incluye hojas internas ocultas (CALCULOS, VALIDACION_RENAL).</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NMX-29_KDOQI_KDIGO(2)_COMERCIAL_PRE_P19_REPARADO_PRE_P19.xlsx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NMX-29 · Recordatorio de 24 Horas Renal</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3 · Evaluación y Registro</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Evaluación dietética renal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clínico profesional)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Aplicar el recordatorio de 24 h por pasos múltiples con enfoque renal, evaluando cobertura de nutrientes críticos con trazabilidad y matriz renal.</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Alimentación: Ingesta de 24 h (pasos múltiples); Clínica: Metas/parámetros renales (CONFIG)</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Reporte de cobertura; Matriz renal</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(declarado). Incluye hojas internas ocultas (CALCULOS, VALIDACION_RENAL).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NMX-29 es el recordatorio de 24 horas en su variante renal, con metodología de pasos múltiples. Sobre la base INTA 2018 evalúa la cobertura de nutrientes con relevancia renal y aporta hojas de trazabilidad y matriz renal. Es la contraparte 'recordatorio' de NMX-22 (registro renal) dentro de la Fase 3, con orientación clínica de apoyo.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Aplicar el recordatorio de 24 h por pasos múltiples con enfoque renal, evaluando cobertura de nutrientes críticos con trazabilidad y matriz renal.</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la ingesta de 24 h por pasos múltiples.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Evaluar cobertura de nutrientes críticos renales.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Consultar trazabilidad y matriz renal.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clínico profesional)</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Enfoque renal; base INTA 2018 con cobertura crítica para uso renal.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Recordatorio por pasos</w:t>
            </w:r>
          </w:p>
        </w:tc>
        <w:tc>
          <w:tcPr>
            <w:tcW w:type="dxa" w:w="2500"/>
          </w:tcPr>
          <w:p>
            <w:pPr>
              <w:spacing w:before="20" w:after="20"/>
            </w:pPr>
            <w:r>
              <w:rPr>
                <w:rFonts w:ascii="Calibri" w:hAnsi="Calibri"/>
                <w:b w:val="0"/>
                <w:i w:val="0"/>
                <w:color w:val="1A2B33"/>
                <w:sz w:val="18"/>
              </w:rPr>
              <w:t>Registra la ingesta de 24 h</w:t>
            </w:r>
          </w:p>
        </w:tc>
        <w:tc>
          <w:tcPr>
            <w:tcW w:type="dxa" w:w="2000"/>
          </w:tcPr>
          <w:p>
            <w:pPr>
              <w:spacing w:before="20" w:after="20"/>
            </w:pPr>
            <w:r>
              <w:rPr>
                <w:rFonts w:ascii="Calibri" w:hAnsi="Calibri"/>
                <w:b w:val="0"/>
                <w:i w:val="0"/>
                <w:color w:val="1A2B33"/>
                <w:sz w:val="18"/>
              </w:rPr>
              <w:t>Alimentos y cantidades</w:t>
            </w:r>
          </w:p>
        </w:tc>
        <w:tc>
          <w:tcPr>
            <w:tcW w:type="dxa" w:w="2160"/>
          </w:tcPr>
          <w:p>
            <w:pPr>
              <w:spacing w:before="20" w:after="20"/>
            </w:pPr>
            <w:r>
              <w:rPr>
                <w:rFonts w:ascii="Calibri" w:hAnsi="Calibri"/>
                <w:b w:val="0"/>
                <w:i w:val="0"/>
                <w:color w:val="1A2B33"/>
                <w:sz w:val="18"/>
              </w:rPr>
              <w:t>Ingesta registrada</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Cobertura renal</w:t>
            </w:r>
          </w:p>
        </w:tc>
        <w:tc>
          <w:tcPr>
            <w:tcW w:type="dxa" w:w="2500"/>
            <w:shd w:val="clear" w:color="auto" w:fill="F6F8F8"/>
          </w:tcPr>
          <w:p>
            <w:pPr>
              <w:spacing w:before="20" w:after="20"/>
            </w:pPr>
            <w:r>
              <w:rPr>
                <w:rFonts w:ascii="Calibri" w:hAnsi="Calibri"/>
                <w:b w:val="0"/>
                <w:i w:val="0"/>
                <w:color w:val="1A2B33"/>
                <w:sz w:val="18"/>
              </w:rPr>
              <w:t>Evalúa nutrientes críticos</w:t>
            </w:r>
          </w:p>
        </w:tc>
        <w:tc>
          <w:tcPr>
            <w:tcW w:type="dxa" w:w="2000"/>
            <w:shd w:val="clear" w:color="auto" w:fill="F6F8F8"/>
          </w:tcPr>
          <w:p>
            <w:pPr>
              <w:spacing w:before="20" w:after="20"/>
            </w:pPr>
            <w:r>
              <w:rPr>
                <w:rFonts w:ascii="Calibri" w:hAnsi="Calibri"/>
                <w:b w:val="0"/>
                <w:i w:val="0"/>
                <w:color w:val="1A2B33"/>
                <w:sz w:val="18"/>
              </w:rPr>
              <w:t>Ingesta</w:t>
            </w:r>
          </w:p>
        </w:tc>
        <w:tc>
          <w:tcPr>
            <w:tcW w:type="dxa" w:w="2160"/>
            <w:shd w:val="clear" w:color="auto" w:fill="F6F8F8"/>
          </w:tcPr>
          <w:p>
            <w:pPr>
              <w:spacing w:before="20" w:after="20"/>
            </w:pPr>
            <w:r>
              <w:rPr>
                <w:rFonts w:ascii="Calibri" w:hAnsi="Calibri"/>
                <w:b w:val="0"/>
                <w:i w:val="0"/>
                <w:color w:val="1A2B33"/>
                <w:sz w:val="18"/>
              </w:rPr>
              <w:t>Reporte de cobertura</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Matriz renal</w:t>
            </w:r>
          </w:p>
        </w:tc>
        <w:tc>
          <w:tcPr>
            <w:tcW w:type="dxa" w:w="2500"/>
          </w:tcPr>
          <w:p>
            <w:pPr>
              <w:spacing w:before="20" w:after="20"/>
            </w:pPr>
            <w:r>
              <w:rPr>
                <w:rFonts w:ascii="Calibri" w:hAnsi="Calibri"/>
                <w:b w:val="0"/>
                <w:i w:val="0"/>
                <w:color w:val="1A2B33"/>
                <w:sz w:val="18"/>
              </w:rPr>
              <w:t>Clasifica alimentos por relevancia renal</w:t>
            </w:r>
          </w:p>
        </w:tc>
        <w:tc>
          <w:tcPr>
            <w:tcW w:type="dxa" w:w="2000"/>
          </w:tcPr>
          <w:p>
            <w:pPr>
              <w:spacing w:before="20" w:after="20"/>
            </w:pPr>
            <w:r>
              <w:rPr>
                <w:rFonts w:ascii="Calibri" w:hAnsi="Calibri"/>
                <w:b w:val="0"/>
                <w:i w:val="0"/>
                <w:color w:val="1A2B33"/>
                <w:sz w:val="18"/>
              </w:rPr>
              <w:t>Base INTA</w:t>
            </w:r>
          </w:p>
        </w:tc>
        <w:tc>
          <w:tcPr>
            <w:tcW w:type="dxa" w:w="2160"/>
          </w:tcPr>
          <w:p>
            <w:pPr>
              <w:spacing w:before="20" w:after="20"/>
            </w:pPr>
            <w:r>
              <w:rPr>
                <w:rFonts w:ascii="Calibri" w:hAnsi="Calibri"/>
                <w:b w:val="0"/>
                <w:i w:val="0"/>
                <w:color w:val="1A2B33"/>
                <w:sz w:val="18"/>
              </w:rPr>
              <w:t>Matriz renal</w:t>
            </w:r>
          </w:p>
        </w:tc>
        <w:tc>
          <w:tcPr>
            <w:tcW w:type="dxa" w:w="1200"/>
          </w:tcPr>
          <w:p>
            <w:pPr>
              <w:spacing w:before="20" w:after="20"/>
            </w:pPr>
            <w:r>
              <w:rPr>
                <w:rFonts w:ascii="Calibri" w:hAnsi="Calibri"/>
                <w:b w:val="0"/>
                <w:i w:val="0"/>
                <w:color w:val="1A2B33"/>
                <w:sz w:val="18"/>
              </w:rPr>
              <w:t>Avanzado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Ingesta de 24 h (pasos múltiples)</w:t>
      </w:r>
    </w:p>
    <w:p>
      <w:pPr>
        <w:spacing w:before="60" w:after="20" w:line="276" w:lineRule="auto"/>
      </w:pPr>
      <w:r>
        <w:rPr>
          <w:rFonts w:ascii="Calibri" w:hAnsi="Calibri"/>
          <w:b/>
          <w:i w:val="0"/>
          <w:color w:val="0A3E3A"/>
          <w:sz w:val="20"/>
        </w:rPr>
        <w:t>Clínica</w:t>
      </w:r>
    </w:p>
    <w:p>
      <w:pPr>
        <w:spacing w:before="40" w:after="60" w:line="276" w:lineRule="auto"/>
      </w:pPr>
      <w:r>
        <w:rPr>
          <w:rFonts w:ascii="Calibri" w:hAnsi="Calibri"/>
          <w:b w:val="0"/>
          <w:i w:val="0"/>
          <w:color w:val="1A2B33"/>
          <w:sz w:val="19"/>
        </w:rPr>
        <w:t>Metas/parámetros renales (CONFIG)</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Reporte de cobertura</w:t>
            </w:r>
          </w:p>
        </w:tc>
        <w:tc>
          <w:tcPr>
            <w:tcW w:type="dxa" w:w="1700"/>
          </w:tcPr>
          <w:p>
            <w:pPr>
              <w:spacing w:before="20" w:after="20"/>
            </w:pPr>
            <w:r>
              <w:rPr>
                <w:rFonts w:ascii="Calibri" w:hAnsi="Calibri"/>
                <w:b w:val="0"/>
                <w:i w:val="0"/>
                <w:color w:val="1A2B33"/>
                <w:sz w:val="18"/>
              </w:rPr>
              <w:t>INFORME</w:t>
            </w:r>
          </w:p>
        </w:tc>
        <w:tc>
          <w:tcPr>
            <w:tcW w:type="dxa" w:w="1560"/>
          </w:tcPr>
          <w:p>
            <w:pPr>
              <w:spacing w:before="20" w:after="20"/>
            </w:pPr>
            <w:r>
              <w:rPr>
                <w:rFonts w:ascii="Calibri" w:hAnsi="Calibri"/>
                <w:b w:val="0"/>
                <w:i w:val="0"/>
                <w:color w:val="1A2B33"/>
                <w:sz w:val="18"/>
              </w:rPr>
              <w:t>por nutriente</w:t>
            </w:r>
          </w:p>
        </w:tc>
        <w:tc>
          <w:tcPr>
            <w:tcW w:type="dxa" w:w="3100"/>
          </w:tcPr>
          <w:p>
            <w:pPr>
              <w:spacing w:before="20" w:after="20"/>
            </w:pPr>
            <w:r>
              <w:rPr>
                <w:rFonts w:ascii="Calibri" w:hAnsi="Calibri"/>
                <w:b w:val="0"/>
                <w:i w:val="0"/>
                <w:color w:val="1A2B33"/>
                <w:sz w:val="18"/>
              </w:rPr>
              <w:t>Depende de la ingesta</w:t>
            </w:r>
          </w:p>
        </w:tc>
      </w:tr>
      <w:tr>
        <w:tc>
          <w:tcPr>
            <w:tcW w:type="dxa" w:w="3000"/>
            <w:shd w:val="clear" w:color="auto" w:fill="F6F8F8"/>
          </w:tcPr>
          <w:p>
            <w:pPr>
              <w:spacing w:before="20" w:after="20"/>
            </w:pPr>
            <w:r>
              <w:rPr>
                <w:rFonts w:ascii="Calibri" w:hAnsi="Calibri"/>
                <w:b w:val="0"/>
                <w:i w:val="0"/>
                <w:color w:val="1A2B33"/>
                <w:sz w:val="18"/>
              </w:rPr>
              <w:t>Matriz renal</w:t>
            </w:r>
          </w:p>
        </w:tc>
        <w:tc>
          <w:tcPr>
            <w:tcW w:type="dxa" w:w="1700"/>
            <w:shd w:val="clear" w:color="auto" w:fill="F6F8F8"/>
          </w:tcPr>
          <w:p>
            <w:pPr>
              <w:spacing w:before="20" w:after="20"/>
            </w:pPr>
            <w:r>
              <w:rPr>
                <w:rFonts w:ascii="Calibri" w:hAnsi="Calibri"/>
                <w:b w:val="0"/>
                <w:i w:val="0"/>
                <w:color w:val="1A2B33"/>
                <w:sz w:val="18"/>
              </w:rPr>
              <w:t>REGISTRO</w:t>
            </w:r>
          </w:p>
        </w:tc>
        <w:tc>
          <w:tcPr>
            <w:tcW w:type="dxa" w:w="1560"/>
            <w:shd w:val="clear" w:color="auto" w:fill="F6F8F8"/>
          </w:tcPr>
          <w:p>
            <w:pPr>
              <w:spacing w:before="20" w:after="20"/>
            </w:pPr>
            <w:r>
              <w:rPr>
                <w:rFonts w:ascii="Calibri" w:hAnsi="Calibri"/>
                <w:b w:val="0"/>
                <w:i w:val="0"/>
                <w:color w:val="1A2B33"/>
                <w:sz w:val="18"/>
              </w:rPr>
              <w:t>clasificación</w:t>
            </w:r>
          </w:p>
        </w:tc>
        <w:tc>
          <w:tcPr>
            <w:tcW w:type="dxa" w:w="3100"/>
            <w:shd w:val="clear" w:color="auto" w:fill="F6F8F8"/>
          </w:tcPr>
          <w:p>
            <w:pPr>
              <w:spacing w:before="20" w:after="20"/>
            </w:pPr>
            <w:r>
              <w:rPr>
                <w:rFonts w:ascii="Calibri" w:hAnsi="Calibri"/>
                <w:b w:val="0"/>
                <w:i w:val="0"/>
                <w:color w:val="1A2B33"/>
                <w:sz w:val="18"/>
              </w:rPr>
              <w:t>Depende de la base</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RECORDATORIO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TRAZABILIDAD_RENAL/MATRIZ_RENAL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RECORDATORIO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13 hojas (8 visibles y 5 ocultas o auxiliares). Incorpora aproximadamente 348 fórmulas, 2 gráficos, 0 tablas estructuradas y 15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Recordatorio ficticio de 24 h en contexto renal.</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 la ingesta por pasos múltiples.</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evalúa cobertura de nutrientes críticos renales.</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profesional interpreta el reporte según la situación clínica.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Recordatorio 24 h de pasos múltiples, enfoque renal</w:t>
            </w:r>
          </w:p>
        </w:tc>
        <w:tc>
          <w:tcPr>
            <w:tcW w:type="dxa" w:w="1500"/>
          </w:tcPr>
          <w:p>
            <w:pPr>
              <w:spacing w:before="20" w:after="20"/>
            </w:pPr>
            <w:r>
              <w:rPr>
                <w:rFonts w:ascii="Calibri" w:hAnsi="Calibri"/>
                <w:b w:val="0"/>
                <w:i w:val="0"/>
                <w:color w:val="1A2B33"/>
                <w:sz w:val="18"/>
              </w:rPr>
              <w:t>Renal</w:t>
            </w:r>
          </w:p>
        </w:tc>
        <w:tc>
          <w:tcPr>
            <w:tcW w:type="dxa" w:w="1760"/>
          </w:tcPr>
          <w:p>
            <w:pPr>
              <w:spacing w:before="20" w:after="20"/>
            </w:pPr>
            <w:r>
              <w:rPr>
                <w:rFonts w:ascii="Calibri" w:hAnsi="Calibri"/>
                <w:b w:val="0"/>
                <w:i w:val="0"/>
                <w:color w:val="1A2B33"/>
                <w:sz w:val="18"/>
              </w:rPr>
              <w:t>Evaluación dietética</w:t>
            </w:r>
          </w:p>
        </w:tc>
        <w:tc>
          <w:tcPr>
            <w:tcW w:type="dxa" w:w="2000"/>
          </w:tcPr>
          <w:p>
            <w:pPr>
              <w:spacing w:before="20" w:after="20"/>
            </w:pPr>
            <w:r>
              <w:rPr>
                <w:rFonts w:ascii="Calibri" w:hAnsi="Calibri"/>
                <w:b w:val="0"/>
                <w:i w:val="0"/>
                <w:color w:val="1A2B33"/>
                <w:sz w:val="18"/>
              </w:rPr>
              <w:t>Requiere interpretación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alimentaria</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Depende del recuerdo del sujeto y del enfoque renal aplicado. La interpretación clínica corresponde al profesional. Base INTA de distribución autorizada.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NMX-22 · Registro Nutricional para Enfermedad Renal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NMX-42 · Explorador Renal de Alimentos y Equivalentes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NMX-29</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NMX-29_KDOQI_KDIGO(2)_COMERCIAL_PRE_P19_REPARADO_PRE_P19.xlsx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NMX-29 · Recordatorio de 24 Horas Renal</w:t>
            </w:r>
          </w:p>
          <w:p>
            <w:pPr>
              <w:spacing w:before="80" w:after="0"/>
              <w:jc w:val="center"/>
            </w:pPr>
            <w:r>
              <w:rPr>
                <w:rFonts w:ascii="Calibri" w:hAnsi="Calibri"/>
                <w:b w:val="0"/>
                <w:i w:val="0"/>
                <w:color w:val="EDF2F1"/>
                <w:sz w:val="20"/>
              </w:rPr>
              <w:t>Fase 3 · Evaluación y Registro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NMX-29 · Recordatorio de 24 Horas Renal</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