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NMX-33</w:t>
      </w:r>
    </w:p>
    <w:p>
      <w:pPr>
        <w:spacing w:before="0" w:after="160" w:line="252" w:lineRule="auto"/>
      </w:pPr>
      <w:r>
        <w:rPr>
          <w:rFonts w:ascii="Calibri" w:hAnsi="Calibri"/>
          <w:b/>
          <w:i w:val="0"/>
          <w:color w:val="1A2B33"/>
          <w:sz w:val="38"/>
        </w:rPr>
        <w:t>Planificador de Entrenamiento Semanal</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4 · Dietas y Planificación</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Planificación de carga de entrenamiento</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NO_CONFIRMADO</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 Microsoft 365 (Windows) y Excel 2021 (declarado en INICIO).</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NMX-33_Planificador_Entrenamiento_Semanal_(4)_COMERCIAL_PRE_P19_REPARADO_PRE_P19.xlsx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NMX-33 · Planificador de Entrenamiento Semanal</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4 · Dietas y Planificación</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Planificación de carga de entrenamiento</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Planificar la semana de entrenamiento cuantificando carga, monotonía y strain por esfuerzo percibido, con zonas de intensidad y progresión.</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Actividad física: Sesiones (duración y RPE), Zonas de intensidad; Datos personales: Deportista y ciclo</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Carga semanal; Monotonía / strain</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NO_CONFIRMADO</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 Microsoft 365 (Windows) y Excel 2021 (declarado en INICIO).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NMX-33 planifica el entrenamiento semanal cuantificando la carga interna por el método de Foster: carga = duración (min) × esfuerzo percibido (0–10), en unidades arbitrarias, y a partir de ella la monotonía y el strain. Añade zonas de intensidad y una vista de progresión semana a semana. Complementa a NMX-11, que planifica el combustible para esa misma semana. Pertenece a la Fase 4.</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Planificar la semana de entrenamiento cuantificando carga, monotonía y strain por esfuerzo percibido, con zonas de intensidad y progresión.</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Definir deportista y ciclo.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Registrar las sesiones de la semana.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Calcular carga, monotonía y strain.</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Deportistas; método de carga por esfuerzo percibido (Foster 2001; monotonía/strain, Foster 1998).</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Carga por sesión</w:t>
            </w:r>
          </w:p>
        </w:tc>
        <w:tc>
          <w:tcPr>
            <w:tcW w:type="dxa" w:w="2500"/>
          </w:tcPr>
          <w:p>
            <w:pPr>
              <w:spacing w:before="20" w:after="20"/>
            </w:pPr>
            <w:r>
              <w:rPr>
                <w:rFonts w:ascii="Calibri" w:hAnsi="Calibri"/>
                <w:b w:val="0"/>
                <w:i w:val="0"/>
                <w:color w:val="1A2B33"/>
                <w:sz w:val="18"/>
              </w:rPr>
              <w:t>Multiplica duración por RPE</w:t>
            </w:r>
          </w:p>
        </w:tc>
        <w:tc>
          <w:tcPr>
            <w:tcW w:type="dxa" w:w="2000"/>
          </w:tcPr>
          <w:p>
            <w:pPr>
              <w:spacing w:before="20" w:after="20"/>
            </w:pPr>
            <w:r>
              <w:rPr>
                <w:rFonts w:ascii="Calibri" w:hAnsi="Calibri"/>
                <w:b w:val="0"/>
                <w:i w:val="0"/>
                <w:color w:val="1A2B33"/>
                <w:sz w:val="18"/>
              </w:rPr>
              <w:t>Duración y RPE</w:t>
            </w:r>
          </w:p>
        </w:tc>
        <w:tc>
          <w:tcPr>
            <w:tcW w:type="dxa" w:w="2160"/>
          </w:tcPr>
          <w:p>
            <w:pPr>
              <w:spacing w:before="20" w:after="20"/>
            </w:pPr>
            <w:r>
              <w:rPr>
                <w:rFonts w:ascii="Calibri" w:hAnsi="Calibri"/>
                <w:b w:val="0"/>
                <w:i w:val="0"/>
                <w:color w:val="1A2B33"/>
                <w:sz w:val="18"/>
              </w:rPr>
              <w:t>Carga (u.a.)</w:t>
            </w:r>
          </w:p>
        </w:tc>
        <w:tc>
          <w:tcPr>
            <w:tcW w:type="dxa" w:w="1200"/>
          </w:tcPr>
          <w:p>
            <w:pPr>
              <w:spacing w:before="20" w:after="20"/>
            </w:pPr>
            <w:r>
              <w:rPr>
                <w:rFonts w:ascii="Calibri" w:hAnsi="Calibri"/>
                <w:b w:val="0"/>
                <w:i w:val="0"/>
                <w:color w:val="1A2B33"/>
                <w:sz w:val="18"/>
              </w:rPr>
              <w:t>Intermedio</w:t>
            </w:r>
          </w:p>
        </w:tc>
      </w:tr>
      <w:tr>
        <w:tc>
          <w:tcPr>
            <w:tcW w:type="dxa" w:w="1500"/>
            <w:shd w:val="clear" w:color="auto" w:fill="F6F8F8"/>
          </w:tcPr>
          <w:p>
            <w:pPr>
              <w:spacing w:before="20" w:after="20"/>
            </w:pPr>
            <w:r>
              <w:rPr>
                <w:rFonts w:ascii="Calibri" w:hAnsi="Calibri"/>
                <w:b w:val="0"/>
                <w:i w:val="0"/>
                <w:color w:val="1A2B33"/>
                <w:sz w:val="18"/>
              </w:rPr>
              <w:t>Monotonía y strain</w:t>
            </w:r>
          </w:p>
        </w:tc>
        <w:tc>
          <w:tcPr>
            <w:tcW w:type="dxa" w:w="2500"/>
            <w:shd w:val="clear" w:color="auto" w:fill="F6F8F8"/>
          </w:tcPr>
          <w:p>
            <w:pPr>
              <w:spacing w:before="20" w:after="20"/>
            </w:pPr>
            <w:r>
              <w:rPr>
                <w:rFonts w:ascii="Calibri" w:hAnsi="Calibri"/>
                <w:b w:val="0"/>
                <w:i w:val="0"/>
                <w:color w:val="1A2B33"/>
                <w:sz w:val="18"/>
              </w:rPr>
              <w:t>Calcula monotonía y strain semanales</w:t>
            </w:r>
          </w:p>
        </w:tc>
        <w:tc>
          <w:tcPr>
            <w:tcW w:type="dxa" w:w="2000"/>
            <w:shd w:val="clear" w:color="auto" w:fill="F6F8F8"/>
          </w:tcPr>
          <w:p>
            <w:pPr>
              <w:spacing w:before="20" w:after="20"/>
            </w:pPr>
            <w:r>
              <w:rPr>
                <w:rFonts w:ascii="Calibri" w:hAnsi="Calibri"/>
                <w:b w:val="0"/>
                <w:i w:val="0"/>
                <w:color w:val="1A2B33"/>
                <w:sz w:val="18"/>
              </w:rPr>
              <w:t>Cargas de la semana</w:t>
            </w:r>
          </w:p>
        </w:tc>
        <w:tc>
          <w:tcPr>
            <w:tcW w:type="dxa" w:w="2160"/>
            <w:shd w:val="clear" w:color="auto" w:fill="F6F8F8"/>
          </w:tcPr>
          <w:p>
            <w:pPr>
              <w:spacing w:before="20" w:after="20"/>
            </w:pPr>
            <w:r>
              <w:rPr>
                <w:rFonts w:ascii="Calibri" w:hAnsi="Calibri"/>
                <w:b w:val="0"/>
                <w:i w:val="0"/>
                <w:color w:val="1A2B33"/>
                <w:sz w:val="18"/>
              </w:rPr>
              <w:t>Monotonía / strain</w:t>
            </w:r>
          </w:p>
        </w:tc>
        <w:tc>
          <w:tcPr>
            <w:tcW w:type="dxa" w:w="1200"/>
            <w:shd w:val="clear" w:color="auto" w:fill="F6F8F8"/>
          </w:tcPr>
          <w:p>
            <w:pPr>
              <w:spacing w:before="20" w:after="20"/>
            </w:pPr>
            <w:r>
              <w:rPr>
                <w:rFonts w:ascii="Calibri" w:hAnsi="Calibri"/>
                <w:b w:val="0"/>
                <w:i w:val="0"/>
                <w:color w:val="1A2B33"/>
                <w:sz w:val="18"/>
              </w:rPr>
              <w:t>Avanzado</w:t>
            </w:r>
          </w:p>
        </w:tc>
      </w:tr>
      <w:tr>
        <w:tc>
          <w:tcPr>
            <w:tcW w:type="dxa" w:w="1500"/>
          </w:tcPr>
          <w:p>
            <w:pPr>
              <w:spacing w:before="20" w:after="20"/>
            </w:pPr>
            <w:r>
              <w:rPr>
                <w:rFonts w:ascii="Calibri" w:hAnsi="Calibri"/>
                <w:b w:val="0"/>
                <w:i w:val="0"/>
                <w:color w:val="1A2B33"/>
                <w:sz w:val="18"/>
              </w:rPr>
              <w:t>Progresión</w:t>
            </w:r>
          </w:p>
        </w:tc>
        <w:tc>
          <w:tcPr>
            <w:tcW w:type="dxa" w:w="2500"/>
          </w:tcPr>
          <w:p>
            <w:pPr>
              <w:spacing w:before="20" w:after="20"/>
            </w:pPr>
            <w:r>
              <w:rPr>
                <w:rFonts w:ascii="Calibri" w:hAnsi="Calibri"/>
                <w:b w:val="0"/>
                <w:i w:val="0"/>
                <w:color w:val="1A2B33"/>
                <w:sz w:val="18"/>
              </w:rPr>
              <w:t>Compara semana a semana</w:t>
            </w:r>
          </w:p>
        </w:tc>
        <w:tc>
          <w:tcPr>
            <w:tcW w:type="dxa" w:w="2000"/>
          </w:tcPr>
          <w:p>
            <w:pPr>
              <w:spacing w:before="20" w:after="20"/>
            </w:pPr>
            <w:r>
              <w:rPr>
                <w:rFonts w:ascii="Calibri" w:hAnsi="Calibri"/>
                <w:b w:val="0"/>
                <w:i w:val="0"/>
                <w:color w:val="1A2B33"/>
                <w:sz w:val="18"/>
              </w:rPr>
              <w:t>Cargas semanales</w:t>
            </w:r>
          </w:p>
        </w:tc>
        <w:tc>
          <w:tcPr>
            <w:tcW w:type="dxa" w:w="2160"/>
          </w:tcPr>
          <w:p>
            <w:pPr>
              <w:spacing w:before="20" w:after="20"/>
            </w:pPr>
            <w:r>
              <w:rPr>
                <w:rFonts w:ascii="Calibri" w:hAnsi="Calibri"/>
                <w:b w:val="0"/>
                <w:i w:val="0"/>
                <w:color w:val="1A2B33"/>
                <w:sz w:val="18"/>
              </w:rPr>
              <w:t>Vista de progresión</w:t>
            </w:r>
          </w:p>
        </w:tc>
        <w:tc>
          <w:tcPr>
            <w:tcW w:type="dxa" w:w="1200"/>
          </w:tcPr>
          <w:p>
            <w:pPr>
              <w:spacing w:before="20" w:after="20"/>
            </w:pPr>
            <w:r>
              <w:rPr>
                <w:rFonts w:ascii="Calibri" w:hAnsi="Calibri"/>
                <w:b w:val="0"/>
                <w:i w:val="0"/>
                <w:color w:val="1A2B33"/>
                <w:sz w:val="18"/>
              </w:rPr>
              <w:t>Intermedio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Actividad física</w:t>
      </w:r>
    </w:p>
    <w:p>
      <w:pPr>
        <w:spacing w:before="40" w:after="60" w:line="276" w:lineRule="auto"/>
      </w:pPr>
      <w:r>
        <w:rPr>
          <w:rFonts w:ascii="Calibri" w:hAnsi="Calibri"/>
          <w:b w:val="0"/>
          <w:i w:val="0"/>
          <w:color w:val="1A2B33"/>
          <w:sz w:val="19"/>
        </w:rPr>
        <w:t>Sesiones (duración y RPE), Zonas de intensidad</w:t>
      </w:r>
    </w:p>
    <w:p>
      <w:pPr>
        <w:spacing w:before="60" w:after="20" w:line="276" w:lineRule="auto"/>
      </w:pPr>
      <w:r>
        <w:rPr>
          <w:rFonts w:ascii="Calibri" w:hAnsi="Calibri"/>
          <w:b/>
          <w:i w:val="0"/>
          <w:color w:val="0A3E3A"/>
          <w:sz w:val="20"/>
        </w:rPr>
        <w:t>Datos personales</w:t>
      </w:r>
    </w:p>
    <w:p>
      <w:pPr>
        <w:spacing w:before="40" w:after="60" w:line="276" w:lineRule="auto"/>
      </w:pPr>
      <w:r>
        <w:rPr>
          <w:rFonts w:ascii="Calibri" w:hAnsi="Calibri"/>
          <w:b w:val="0"/>
          <w:i w:val="0"/>
          <w:color w:val="1A2B33"/>
          <w:sz w:val="19"/>
        </w:rPr>
        <w:t>Deportista y ciclo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Carga semanal</w:t>
            </w:r>
          </w:p>
        </w:tc>
        <w:tc>
          <w:tcPr>
            <w:tcW w:type="dxa" w:w="1700"/>
          </w:tcPr>
          <w:p>
            <w:pPr>
              <w:spacing w:before="20" w:after="20"/>
            </w:pPr>
            <w:r>
              <w:rPr>
                <w:rFonts w:ascii="Calibri" w:hAnsi="Calibri"/>
                <w:b w:val="0"/>
                <w:i w:val="0"/>
                <w:color w:val="1A2B33"/>
                <w:sz w:val="18"/>
              </w:rPr>
              <w:t>CÁLCULO</w:t>
            </w:r>
          </w:p>
        </w:tc>
        <w:tc>
          <w:tcPr>
            <w:tcW w:type="dxa" w:w="1560"/>
          </w:tcPr>
          <w:p>
            <w:pPr>
              <w:spacing w:before="20" w:after="20"/>
            </w:pPr>
            <w:r>
              <w:rPr>
                <w:rFonts w:ascii="Calibri" w:hAnsi="Calibri"/>
                <w:b w:val="0"/>
                <w:i w:val="0"/>
                <w:color w:val="1A2B33"/>
                <w:sz w:val="18"/>
              </w:rPr>
              <w:t>u.a.</w:t>
            </w:r>
          </w:p>
        </w:tc>
        <w:tc>
          <w:tcPr>
            <w:tcW w:type="dxa" w:w="3100"/>
          </w:tcPr>
          <w:p>
            <w:pPr>
              <w:spacing w:before="20" w:after="20"/>
            </w:pPr>
            <w:r>
              <w:rPr>
                <w:rFonts w:ascii="Calibri" w:hAnsi="Calibri"/>
                <w:b w:val="0"/>
                <w:i w:val="0"/>
                <w:color w:val="1A2B33"/>
                <w:sz w:val="18"/>
              </w:rPr>
              <w:t>Depende de sesiones</w:t>
            </w:r>
          </w:p>
        </w:tc>
      </w:tr>
      <w:tr>
        <w:tc>
          <w:tcPr>
            <w:tcW w:type="dxa" w:w="3000"/>
            <w:shd w:val="clear" w:color="auto" w:fill="F6F8F8"/>
          </w:tcPr>
          <w:p>
            <w:pPr>
              <w:spacing w:before="20" w:after="20"/>
            </w:pPr>
            <w:r>
              <w:rPr>
                <w:rFonts w:ascii="Calibri" w:hAnsi="Calibri"/>
                <w:b w:val="0"/>
                <w:i w:val="0"/>
                <w:color w:val="1A2B33"/>
                <w:sz w:val="18"/>
              </w:rPr>
              <w:t>Monotonía / strain</w:t>
            </w:r>
          </w:p>
        </w:tc>
        <w:tc>
          <w:tcPr>
            <w:tcW w:type="dxa" w:w="1700"/>
            <w:shd w:val="clear" w:color="auto" w:fill="F6F8F8"/>
          </w:tcPr>
          <w:p>
            <w:pPr>
              <w:spacing w:before="20" w:after="20"/>
            </w:pPr>
            <w:r>
              <w:rPr>
                <w:rFonts w:ascii="Calibri" w:hAnsi="Calibri"/>
                <w:b w:val="0"/>
                <w:i w:val="0"/>
                <w:color w:val="1A2B33"/>
                <w:sz w:val="18"/>
              </w:rPr>
              <w:t>INDICADOR</w:t>
            </w:r>
          </w:p>
        </w:tc>
        <w:tc>
          <w:tcPr>
            <w:tcW w:type="dxa" w:w="1560"/>
            <w:shd w:val="clear" w:color="auto" w:fill="F6F8F8"/>
          </w:tcPr>
          <w:p>
            <w:pPr>
              <w:spacing w:before="20" w:after="20"/>
            </w:pPr>
            <w:r>
              <w:rPr>
                <w:rFonts w:ascii="Calibri" w:hAnsi="Calibri"/>
                <w:b w:val="0"/>
                <w:i w:val="0"/>
                <w:color w:val="1A2B33"/>
                <w:sz w:val="18"/>
              </w:rPr>
              <w:t>u.a.</w:t>
            </w:r>
          </w:p>
        </w:tc>
        <w:tc>
          <w:tcPr>
            <w:tcW w:type="dxa" w:w="3100"/>
            <w:shd w:val="clear" w:color="auto" w:fill="F6F8F8"/>
          </w:tcPr>
          <w:p>
            <w:pPr>
              <w:spacing w:before="20" w:after="20"/>
            </w:pPr>
            <w:r>
              <w:rPr>
                <w:rFonts w:ascii="Calibri" w:hAnsi="Calibri"/>
                <w:b w:val="0"/>
                <w:i w:val="0"/>
                <w:color w:val="1A2B33"/>
                <w:sz w:val="18"/>
              </w:rPr>
              <w:t>Depende de la distribución de cargas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672"/>
        <w:gridCol w:w="672"/>
        <w:gridCol w:w="672"/>
        <w:gridCol w:w="672"/>
        <w:gridCol w:w="672"/>
        <w:gridCol w:w="672"/>
        <w:gridCol w:w="672"/>
        <w:gridCol w:w="672"/>
        <w:gridCol w:w="672"/>
        <w:gridCol w:w="672"/>
        <w:gridCol w:w="672"/>
        <w:gridCol w:w="672"/>
        <w:gridCol w:w="672"/>
        <w:gridCol w:w="672"/>
        <w:gridCol w:w="672"/>
      </w:tblGrid>
      <w:tr>
        <w:tc>
          <w:tcPr>
            <w:tcW w:type="dxa" w:w="672"/>
            <w:shd w:val="clear" w:color="auto" w:fill="EDF2F1"/>
          </w:tcPr>
          <w:p>
            <w:pPr>
              <w:spacing w:before="20" w:after="20"/>
              <w:jc w:val="center"/>
            </w:pPr>
            <w:r>
              <w:rPr>
                <w:rFonts w:ascii="Calibri" w:hAnsi="Calibri"/>
                <w:b/>
                <w:i w:val="0"/>
                <w:color w:val="0A3E3A"/>
                <w:sz w:val="15"/>
              </w:rPr>
              <w:t>INICIO</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DATOS</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SEMANA</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CARGA</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DISTRIBUCION</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PANEL</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PROGRESION</w:t>
            </w:r>
          </w:p>
        </w:tc>
        <w:tc>
          <w:tcPr>
            <w:tcW w:type="dxa" w:w="672"/>
          </w:tcPr>
          <w:p>
            <w:pPr>
              <w:spacing w:before="20" w:after="20"/>
              <w:jc w:val="center"/>
            </w:pPr>
            <w:r>
              <w:rPr>
                <w:rFonts w:ascii="Calibri" w:hAnsi="Calibri"/>
                <w:b/>
                <w:i w:val="0"/>
                <w:color w:val="C08A2B"/>
                <w:sz w:val="18"/>
              </w:rPr>
              <w:t>→</w:t>
            </w:r>
          </w:p>
        </w:tc>
        <w:tc>
          <w:tcPr>
            <w:tcW w:type="dxa" w:w="672"/>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SEMANA</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PANEL</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PROGRESION</w:t>
            </w:r>
          </w:p>
        </w:tc>
        <w:tc>
          <w:tcPr>
            <w:tcW w:type="dxa" w:w="5760"/>
            <w:shd w:val="clear" w:color="auto" w:fill="F6F8F8"/>
          </w:tcPr>
          <w:p>
            <w:pPr>
              <w:spacing w:before="20" w:after="20"/>
            </w:pPr>
            <w:r>
              <w:rPr>
                <w:rFonts w:ascii="Calibri" w:hAnsi="Calibri"/>
                <w:b w:val="0"/>
                <w:i w:val="0"/>
                <w:color w:val="1A2B33"/>
                <w:sz w:val="18"/>
              </w:rPr>
              <w:t>RESULTADOS</w:t>
            </w:r>
          </w:p>
        </w:tc>
      </w:tr>
      <w:tr>
        <w:tc>
          <w:tcPr>
            <w:tcW w:type="dxa" w:w="3600"/>
          </w:tcPr>
          <w:p>
            <w:pPr>
              <w:spacing w:before="20" w:after="20"/>
            </w:pPr>
            <w:r>
              <w:rPr>
                <w:rFonts w:ascii="Calibri" w:hAnsi="Calibri"/>
                <w:b w:val="0"/>
                <w:i w:val="0"/>
                <w:color w:val="1A2B33"/>
                <w:sz w:val="18"/>
              </w:rPr>
              <w:t>FUENTES</w:t>
            </w:r>
          </w:p>
        </w:tc>
        <w:tc>
          <w:tcPr>
            <w:tcW w:type="dxa" w:w="5760"/>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11 hojas (11 visibles y 0 ocultas o auxiliares). Incorpora aproximadamente 234 fórmulas, 3 gráficos, 0 tablas estructuradas y 6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Semana ficticia de entrenamiento con RPE por sesión.</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registran duración y esfuerzo percibido de cada sesión.</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planificador calcula carga, monotonía y strain.</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La progresión orienta el ajuste de la semana siguiente.</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ECUACIÓN</w:t>
            </w:r>
          </w:p>
        </w:tc>
        <w:tc>
          <w:tcPr>
            <w:tcW w:type="dxa" w:w="2600"/>
          </w:tcPr>
          <w:p>
            <w:pPr>
              <w:spacing w:before="20" w:after="20"/>
            </w:pPr>
            <w:r>
              <w:rPr>
                <w:rFonts w:ascii="Calibri" w:hAnsi="Calibri"/>
                <w:b w:val="0"/>
                <w:i w:val="0"/>
                <w:color w:val="1A2B33"/>
                <w:sz w:val="18"/>
              </w:rPr>
              <w:t>Carga = duración × RPE (Foster 2001)</w:t>
            </w:r>
          </w:p>
        </w:tc>
        <w:tc>
          <w:tcPr>
            <w:tcW w:type="dxa" w:w="1500"/>
          </w:tcPr>
          <w:p>
            <w:pPr>
              <w:spacing w:before="20" w:after="20"/>
            </w:pPr>
            <w:r>
              <w:rPr>
                <w:rFonts w:ascii="Calibri" w:hAnsi="Calibri"/>
                <w:b w:val="0"/>
                <w:i w:val="0"/>
                <w:color w:val="1A2B33"/>
                <w:sz w:val="18"/>
              </w:rPr>
              <w:t>Deportistas</w:t>
            </w:r>
          </w:p>
        </w:tc>
        <w:tc>
          <w:tcPr>
            <w:tcW w:type="dxa" w:w="1760"/>
          </w:tcPr>
          <w:p>
            <w:pPr>
              <w:spacing w:before="20" w:after="20"/>
            </w:pPr>
            <w:r>
              <w:rPr>
                <w:rFonts w:ascii="Calibri" w:hAnsi="Calibri"/>
                <w:b w:val="0"/>
                <w:i w:val="0"/>
                <w:color w:val="1A2B33"/>
                <w:sz w:val="18"/>
              </w:rPr>
              <w:t>Carga interna</w:t>
            </w:r>
          </w:p>
        </w:tc>
        <w:tc>
          <w:tcPr>
            <w:tcW w:type="dxa" w:w="2000"/>
          </w:tcPr>
          <w:p>
            <w:pPr>
              <w:spacing w:before="20" w:after="20"/>
            </w:pPr>
            <w:r>
              <w:rPr>
                <w:rFonts w:ascii="Calibri" w:hAnsi="Calibri"/>
                <w:b w:val="0"/>
                <w:i w:val="0"/>
                <w:color w:val="1A2B33"/>
                <w:sz w:val="18"/>
              </w:rPr>
              <w:t>Medida de carga interna, no externa</w:t>
            </w:r>
          </w:p>
        </w:tc>
      </w:tr>
      <w:tr>
        <w:tc>
          <w:tcPr>
            <w:tcW w:type="dxa" w:w="1500"/>
            <w:shd w:val="clear" w:color="auto" w:fill="F6F8F8"/>
          </w:tcPr>
          <w:p>
            <w:pPr>
              <w:spacing w:before="20" w:after="20"/>
            </w:pPr>
            <w:r>
              <w:rPr>
                <w:rFonts w:ascii="Calibri" w:hAnsi="Calibri"/>
                <w:b w:val="0"/>
                <w:i w:val="0"/>
                <w:color w:val="1A2B33"/>
                <w:sz w:val="18"/>
              </w:rPr>
              <w:t>ECUACIÓN</w:t>
            </w:r>
          </w:p>
        </w:tc>
        <w:tc>
          <w:tcPr>
            <w:tcW w:type="dxa" w:w="2600"/>
            <w:shd w:val="clear" w:color="auto" w:fill="F6F8F8"/>
          </w:tcPr>
          <w:p>
            <w:pPr>
              <w:spacing w:before="20" w:after="20"/>
            </w:pPr>
            <w:r>
              <w:rPr>
                <w:rFonts w:ascii="Calibri" w:hAnsi="Calibri"/>
                <w:b w:val="0"/>
                <w:i w:val="0"/>
                <w:color w:val="1A2B33"/>
                <w:sz w:val="18"/>
              </w:rPr>
              <w:t>Monotonía y strain (Foster 1998)</w:t>
            </w:r>
          </w:p>
        </w:tc>
        <w:tc>
          <w:tcPr>
            <w:tcW w:type="dxa" w:w="1500"/>
            <w:shd w:val="clear" w:color="auto" w:fill="F6F8F8"/>
          </w:tcPr>
          <w:p>
            <w:pPr>
              <w:spacing w:before="20" w:after="20"/>
            </w:pPr>
            <w:r>
              <w:rPr>
                <w:rFonts w:ascii="Calibri" w:hAnsi="Calibri"/>
                <w:b w:val="0"/>
                <w:i w:val="0"/>
                <w:color w:val="1A2B33"/>
                <w:sz w:val="18"/>
              </w:rPr>
              <w:t>Deportistas</w:t>
            </w:r>
          </w:p>
        </w:tc>
        <w:tc>
          <w:tcPr>
            <w:tcW w:type="dxa" w:w="1760"/>
            <w:shd w:val="clear" w:color="auto" w:fill="F6F8F8"/>
          </w:tcPr>
          <w:p>
            <w:pPr>
              <w:spacing w:before="20" w:after="20"/>
            </w:pPr>
            <w:r>
              <w:rPr>
                <w:rFonts w:ascii="Calibri" w:hAnsi="Calibri"/>
                <w:b w:val="0"/>
                <w:i w:val="0"/>
                <w:color w:val="1A2B33"/>
                <w:sz w:val="18"/>
              </w:rPr>
              <w:t>Monitoreo de carga</w:t>
            </w:r>
          </w:p>
        </w:tc>
        <w:tc>
          <w:tcPr>
            <w:tcW w:type="dxa" w:w="2000"/>
            <w:shd w:val="clear" w:color="auto" w:fill="F6F8F8"/>
          </w:tcPr>
          <w:p>
            <w:pPr>
              <w:spacing w:before="20" w:after="20"/>
            </w:pPr>
            <w:r>
              <w:rPr>
                <w:rFonts w:ascii="Calibri" w:hAnsi="Calibri"/>
                <w:b w:val="0"/>
                <w:i w:val="0"/>
                <w:color w:val="1A2B33"/>
                <w:sz w:val="18"/>
              </w:rPr>
              <w:t>Interpretación profesional</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Foster C et al.</w:t>
            </w:r>
          </w:p>
        </w:tc>
        <w:tc>
          <w:tcPr>
            <w:tcW w:type="dxa" w:w="2600"/>
          </w:tcPr>
          <w:p>
            <w:pPr>
              <w:spacing w:before="20" w:after="20"/>
            </w:pPr>
            <w:r>
              <w:rPr>
                <w:rFonts w:ascii="Calibri" w:hAnsi="Calibri"/>
                <w:b w:val="0"/>
                <w:i w:val="0"/>
                <w:color w:val="1A2B33"/>
                <w:sz w:val="17"/>
              </w:rPr>
              <w:t>A new approach to monitoring exercise training (J Strength Cond Res)</w:t>
            </w:r>
          </w:p>
        </w:tc>
        <w:tc>
          <w:tcPr>
            <w:tcW w:type="dxa" w:w="700"/>
          </w:tcPr>
          <w:p>
            <w:pPr>
              <w:spacing w:before="20" w:after="20"/>
            </w:pPr>
            <w:r>
              <w:rPr>
                <w:rFonts w:ascii="Calibri" w:hAnsi="Calibri"/>
                <w:b w:val="0"/>
                <w:i w:val="0"/>
                <w:color w:val="1A2B33"/>
                <w:sz w:val="17"/>
              </w:rPr>
              <w:t>2001</w:t>
            </w:r>
          </w:p>
        </w:tc>
        <w:tc>
          <w:tcPr>
            <w:tcW w:type="dxa" w:w="2160"/>
          </w:tcPr>
          <w:p>
            <w:pPr>
              <w:spacing w:before="20" w:after="20"/>
            </w:pPr>
            <w:r>
              <w:rPr>
                <w:rFonts w:ascii="Calibri" w:hAnsi="Calibri"/>
                <w:b w:val="0"/>
                <w:i w:val="0"/>
                <w:color w:val="1A2B33"/>
                <w:sz w:val="17"/>
              </w:rPr>
              <w:t>Carga por RPE</w:t>
            </w:r>
          </w:p>
        </w:tc>
        <w:tc>
          <w:tcPr>
            <w:tcW w:type="dxa" w:w="1700"/>
          </w:tcPr>
          <w:p>
            <w:pPr>
              <w:spacing w:before="20" w:after="20"/>
            </w:pPr>
            <w:r>
              <w:rPr>
                <w:rFonts w:ascii="Calibri" w:hAnsi="Calibri"/>
                <w:b w:val="0"/>
                <w:i w:val="0"/>
                <w:color w:val="1A2B33"/>
                <w:sz w:val="17"/>
              </w:rPr>
              <w:t>FUENTE_PRIMARIA</w:t>
            </w:r>
          </w:p>
        </w:tc>
      </w:tr>
      <w:tr>
        <w:tc>
          <w:tcPr>
            <w:tcW w:type="dxa" w:w="2200"/>
            <w:shd w:val="clear" w:color="auto" w:fill="F6F8F8"/>
          </w:tcPr>
          <w:p>
            <w:pPr>
              <w:spacing w:before="20" w:after="20"/>
            </w:pPr>
            <w:r>
              <w:rPr>
                <w:rFonts w:ascii="Calibri" w:hAnsi="Calibri"/>
                <w:b w:val="0"/>
                <w:i w:val="0"/>
                <w:color w:val="1A2B33"/>
                <w:sz w:val="17"/>
              </w:rPr>
              <w:t>Foster C</w:t>
            </w:r>
          </w:p>
        </w:tc>
        <w:tc>
          <w:tcPr>
            <w:tcW w:type="dxa" w:w="2600"/>
            <w:shd w:val="clear" w:color="auto" w:fill="F6F8F8"/>
          </w:tcPr>
          <w:p>
            <w:pPr>
              <w:spacing w:before="20" w:after="20"/>
            </w:pPr>
            <w:r>
              <w:rPr>
                <w:rFonts w:ascii="Calibri" w:hAnsi="Calibri"/>
                <w:b w:val="0"/>
                <w:i w:val="0"/>
                <w:color w:val="1A2B33"/>
                <w:sz w:val="17"/>
              </w:rPr>
              <w:t>Monotonía y strain (Med Sci Sports Exerc)</w:t>
            </w:r>
          </w:p>
        </w:tc>
        <w:tc>
          <w:tcPr>
            <w:tcW w:type="dxa" w:w="700"/>
            <w:shd w:val="clear" w:color="auto" w:fill="F6F8F8"/>
          </w:tcPr>
          <w:p>
            <w:pPr>
              <w:spacing w:before="20" w:after="20"/>
            </w:pPr>
            <w:r>
              <w:rPr>
                <w:rFonts w:ascii="Calibri" w:hAnsi="Calibri"/>
                <w:b w:val="0"/>
                <w:i w:val="0"/>
                <w:color w:val="1A2B33"/>
                <w:sz w:val="17"/>
              </w:rPr>
              <w:t>1998</w:t>
            </w:r>
          </w:p>
        </w:tc>
        <w:tc>
          <w:tcPr>
            <w:tcW w:type="dxa" w:w="2160"/>
            <w:shd w:val="clear" w:color="auto" w:fill="F6F8F8"/>
          </w:tcPr>
          <w:p>
            <w:pPr>
              <w:spacing w:before="20" w:after="20"/>
            </w:pPr>
            <w:r>
              <w:rPr>
                <w:rFonts w:ascii="Calibri" w:hAnsi="Calibri"/>
                <w:b w:val="0"/>
                <w:i w:val="0"/>
                <w:color w:val="1A2B33"/>
                <w:sz w:val="17"/>
              </w:rPr>
              <w:t>Monitoreo de carga</w:t>
            </w:r>
          </w:p>
        </w:tc>
        <w:tc>
          <w:tcPr>
            <w:tcW w:type="dxa" w:w="1700"/>
            <w:shd w:val="clear" w:color="auto" w:fill="F6F8F8"/>
          </w:tcPr>
          <w:p>
            <w:pPr>
              <w:spacing w:before="20" w:after="20"/>
            </w:pPr>
            <w:r>
              <w:rPr>
                <w:rFonts w:ascii="Calibri" w:hAnsi="Calibri"/>
                <w:b w:val="0"/>
                <w:i w:val="0"/>
                <w:color w:val="1A2B33"/>
                <w:sz w:val="17"/>
              </w:rPr>
              <w:t>FUENTE_PRIMARIA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Cuantifica carga interna a partir del RPE percibido; su validez depende de una escala aplicada correctamente. Es una herramienta de planificación educativa.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académico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 de apoyo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NMX-11 · Planificador Integrado de Entrenamiento y Nutrición</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NMX-08 · Historia Clínica de Nutrición Deportiva</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NMX-33</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NMX-33_Planificador_Entrenamiento_Semanal_(4)_COMERCIAL_PRE_P19_REPARADO_PRE_P19.xlsx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NO_CONFIRMADO</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NMX-33 · Planificador de Entrenamiento Semanal</w:t>
            </w:r>
          </w:p>
          <w:p>
            <w:pPr>
              <w:spacing w:before="80" w:after="0"/>
              <w:jc w:val="center"/>
            </w:pPr>
            <w:r>
              <w:rPr>
                <w:rFonts w:ascii="Calibri" w:hAnsi="Calibri"/>
                <w:b w:val="0"/>
                <w:i w:val="0"/>
                <w:color w:val="EDF2F1"/>
                <w:sz w:val="20"/>
              </w:rPr>
              <w:t>Fase 4 · Dietas y Planificación · NO_CONFIRMADO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NMX-33 · Planificador de Entrenamiento Semanal</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