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NMX-34</w:t>
      </w:r>
    </w:p>
    <w:p>
      <w:pPr>
        <w:spacing w:before="0" w:after="160" w:line="252" w:lineRule="auto"/>
      </w:pPr>
      <w:r>
        <w:rPr>
          <w:rFonts w:ascii="Calibri" w:hAnsi="Calibri"/>
          <w:b/>
          <w:i w:val="0"/>
          <w:color w:val="1A2B33"/>
          <w:sz w:val="38"/>
        </w:rPr>
        <w:t>Indicador Educativo de Edad Metabólica</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8 · Complementarios y Guía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Indicador educativo / comunicación</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Incluye hoja CALCULO oculta.</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NMX-34_Indicador_Educativo_Edad_Metabolica(4)_COMERCIAL_PRE_P19_REPARADO_PRE_P19.xlsx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NMX-34 · Indicador Educativo de Edad Metabólica</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8 · Complementarios y Guía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Indicador educativo / comunicación</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Explicar de forma transparente cómo se obtiene la 'edad metabólica', su sensibilidad y —sobre todo— qué significa y qué NO significa, dejando claro que carece de validación.</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Antropometría: Peso, Talla, Masa magra si se usa Katch-McArdle</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Edad metabólica (educativa); Sensibilidad del indicador</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Incluye hoja CALCULO oculta.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NMX-34 es un indicador EDUCATIVO de edad metabólica, no un instrumento diagnóstico. El propio libro documenta que la 'edad metabólica' se popularizó con las básculas de bioimpedancia domésticas y NO proviene de la literatura clínica ni de un consenso científico: no existe definición consensuada, método de referencia ni ecuaciones normativas revisadas por pares. La herramienta lo calcula de forma transparente (Katch-McArdle sin edad; Mifflin-St Jeor con edad), muestra su sensibilidad y dedica hojas a 'qué significa y qué no'. Es un complemento comunicacional de la Fase 8.</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Explicar de forma transparente cómo se obtiene la 'edad metabólica', su sensibilidad y —sobre todo— qué significa y qué NO significa, dejando claro que carece de validación.</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el indicador a partir de mediciones.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Mostrar su sensibilidad (cuánto se mueve).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Explicar sus límites y ausencia de validación.</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Adultos; indicador EDUCATIVO y de comunicación, NO diagnóstico.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Cálculo del indicador</w:t>
            </w:r>
          </w:p>
        </w:tc>
        <w:tc>
          <w:tcPr>
            <w:tcW w:type="dxa" w:w="2500"/>
          </w:tcPr>
          <w:p>
            <w:pPr>
              <w:spacing w:before="20" w:after="20"/>
            </w:pPr>
            <w:r>
              <w:rPr>
                <w:rFonts w:ascii="Calibri" w:hAnsi="Calibri"/>
                <w:b w:val="0"/>
                <w:i w:val="0"/>
                <w:color w:val="1A2B33"/>
                <w:sz w:val="18"/>
              </w:rPr>
              <w:t>Deriva la 'edad metabólica'</w:t>
            </w:r>
          </w:p>
        </w:tc>
        <w:tc>
          <w:tcPr>
            <w:tcW w:type="dxa" w:w="2000"/>
          </w:tcPr>
          <w:p>
            <w:pPr>
              <w:spacing w:before="20" w:after="20"/>
            </w:pPr>
            <w:r>
              <w:rPr>
                <w:rFonts w:ascii="Calibri" w:hAnsi="Calibri"/>
                <w:b w:val="0"/>
                <w:i w:val="0"/>
                <w:color w:val="1A2B33"/>
                <w:sz w:val="18"/>
              </w:rPr>
              <w:t>Mediciones</w:t>
            </w:r>
          </w:p>
        </w:tc>
        <w:tc>
          <w:tcPr>
            <w:tcW w:type="dxa" w:w="2160"/>
          </w:tcPr>
          <w:p>
            <w:pPr>
              <w:spacing w:before="20" w:after="20"/>
            </w:pPr>
            <w:r>
              <w:rPr>
                <w:rFonts w:ascii="Calibri" w:hAnsi="Calibri"/>
                <w:b w:val="0"/>
                <w:i w:val="0"/>
                <w:color w:val="1A2B33"/>
                <w:sz w:val="18"/>
              </w:rPr>
              <w:t>Edad metabólica (educativa)</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Sensibilidad</w:t>
            </w:r>
          </w:p>
        </w:tc>
        <w:tc>
          <w:tcPr>
            <w:tcW w:type="dxa" w:w="2500"/>
            <w:shd w:val="clear" w:color="auto" w:fill="F6F8F8"/>
          </w:tcPr>
          <w:p>
            <w:pPr>
              <w:spacing w:before="20" w:after="20"/>
            </w:pPr>
            <w:r>
              <w:rPr>
                <w:rFonts w:ascii="Calibri" w:hAnsi="Calibri"/>
                <w:b w:val="0"/>
                <w:i w:val="0"/>
                <w:color w:val="1A2B33"/>
                <w:sz w:val="18"/>
              </w:rPr>
              <w:t>Muestra cuánto se mueve el número</w:t>
            </w:r>
          </w:p>
        </w:tc>
        <w:tc>
          <w:tcPr>
            <w:tcW w:type="dxa" w:w="2000"/>
            <w:shd w:val="clear" w:color="auto" w:fill="F6F8F8"/>
          </w:tcPr>
          <w:p>
            <w:pPr>
              <w:spacing w:before="20" w:after="20"/>
            </w:pPr>
            <w:r>
              <w:rPr>
                <w:rFonts w:ascii="Calibri" w:hAnsi="Calibri"/>
                <w:b w:val="0"/>
                <w:i w:val="0"/>
                <w:color w:val="1A2B33"/>
                <w:sz w:val="18"/>
              </w:rPr>
              <w:t>Variaciones de entrada</w:t>
            </w:r>
          </w:p>
        </w:tc>
        <w:tc>
          <w:tcPr>
            <w:tcW w:type="dxa" w:w="2160"/>
            <w:shd w:val="clear" w:color="auto" w:fill="F6F8F8"/>
          </w:tcPr>
          <w:p>
            <w:pPr>
              <w:spacing w:before="20" w:after="20"/>
            </w:pPr>
            <w:r>
              <w:rPr>
                <w:rFonts w:ascii="Calibri" w:hAnsi="Calibri"/>
                <w:b w:val="0"/>
                <w:i w:val="0"/>
                <w:color w:val="1A2B33"/>
                <w:sz w:val="18"/>
              </w:rPr>
              <w:t>Rango de sensibilidad</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Interpretación honesta</w:t>
            </w:r>
          </w:p>
        </w:tc>
        <w:tc>
          <w:tcPr>
            <w:tcW w:type="dxa" w:w="2500"/>
          </w:tcPr>
          <w:p>
            <w:pPr>
              <w:spacing w:before="20" w:after="20"/>
            </w:pPr>
            <w:r>
              <w:rPr>
                <w:rFonts w:ascii="Calibri" w:hAnsi="Calibri"/>
                <w:b w:val="0"/>
                <w:i w:val="0"/>
                <w:color w:val="1A2B33"/>
                <w:sz w:val="18"/>
              </w:rPr>
              <w:t>Explica qué significa y qué no</w:t>
            </w:r>
          </w:p>
        </w:tc>
        <w:tc>
          <w:tcPr>
            <w:tcW w:type="dxa" w:w="2000"/>
          </w:tcPr>
          <w:p>
            <w:pPr>
              <w:spacing w:before="20" w:after="20"/>
            </w:pPr>
            <w:r>
              <w:rPr>
                <w:rFonts w:ascii="Calibri" w:hAnsi="Calibri"/>
                <w:b w:val="0"/>
                <w:i w:val="0"/>
                <w:color w:val="1A2B33"/>
                <w:sz w:val="18"/>
              </w:rPr>
              <w:t>Consulta</w:t>
            </w:r>
          </w:p>
        </w:tc>
        <w:tc>
          <w:tcPr>
            <w:tcW w:type="dxa" w:w="2160"/>
          </w:tcPr>
          <w:p>
            <w:pPr>
              <w:spacing w:before="20" w:after="20"/>
            </w:pPr>
            <w:r>
              <w:rPr>
                <w:rFonts w:ascii="Calibri" w:hAnsi="Calibri"/>
                <w:b w:val="0"/>
                <w:i w:val="0"/>
                <w:color w:val="1A2B33"/>
                <w:sz w:val="18"/>
              </w:rPr>
              <w:t>Marco interpretativo</w:t>
            </w:r>
          </w:p>
        </w:tc>
        <w:tc>
          <w:tcPr>
            <w:tcW w:type="dxa" w:w="1200"/>
          </w:tcPr>
          <w:p>
            <w:pPr>
              <w:spacing w:before="20" w:after="20"/>
            </w:pPr>
            <w:r>
              <w:rPr>
                <w:rFonts w:ascii="Calibri" w:hAnsi="Calibri"/>
                <w:b w:val="0"/>
                <w:i w:val="0"/>
                <w:color w:val="1A2B33"/>
                <w:sz w:val="18"/>
              </w:rPr>
              <w:t>Básico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Peso, Talla, Masa magra si se usa Katch-McArdle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Edad metabólica (educativa)</w:t>
            </w:r>
          </w:p>
        </w:tc>
        <w:tc>
          <w:tcPr>
            <w:tcW w:type="dxa" w:w="1700"/>
          </w:tcPr>
          <w:p>
            <w:pPr>
              <w:spacing w:before="20" w:after="20"/>
            </w:pPr>
            <w:r>
              <w:rPr>
                <w:rFonts w:ascii="Calibri" w:hAnsi="Calibri"/>
                <w:b w:val="0"/>
                <w:i w:val="0"/>
                <w:color w:val="1A2B33"/>
                <w:sz w:val="18"/>
              </w:rPr>
              <w:t>INDICADOR</w:t>
            </w:r>
          </w:p>
        </w:tc>
        <w:tc>
          <w:tcPr>
            <w:tcW w:type="dxa" w:w="1560"/>
          </w:tcPr>
          <w:p>
            <w:pPr>
              <w:spacing w:before="20" w:after="20"/>
            </w:pPr>
            <w:r>
              <w:rPr>
                <w:rFonts w:ascii="Calibri" w:hAnsi="Calibri"/>
                <w:b w:val="0"/>
                <w:i w:val="0"/>
                <w:color w:val="1A2B33"/>
                <w:sz w:val="18"/>
              </w:rPr>
              <w:t>años</w:t>
            </w:r>
          </w:p>
        </w:tc>
        <w:tc>
          <w:tcPr>
            <w:tcW w:type="dxa" w:w="3100"/>
          </w:tcPr>
          <w:p>
            <w:pPr>
              <w:spacing w:before="20" w:after="20"/>
            </w:pPr>
            <w:r>
              <w:rPr>
                <w:rFonts w:ascii="Calibri" w:hAnsi="Calibri"/>
                <w:b w:val="0"/>
                <w:i w:val="0"/>
                <w:color w:val="1A2B33"/>
                <w:sz w:val="18"/>
              </w:rPr>
              <w:t>Depende de las mediciones y la ecuación</w:t>
            </w:r>
          </w:p>
        </w:tc>
      </w:tr>
      <w:tr>
        <w:tc>
          <w:tcPr>
            <w:tcW w:type="dxa" w:w="3000"/>
            <w:shd w:val="clear" w:color="auto" w:fill="F6F8F8"/>
          </w:tcPr>
          <w:p>
            <w:pPr>
              <w:spacing w:before="20" w:after="20"/>
            </w:pPr>
            <w:r>
              <w:rPr>
                <w:rFonts w:ascii="Calibri" w:hAnsi="Calibri"/>
                <w:b w:val="0"/>
                <w:i w:val="0"/>
                <w:color w:val="1A2B33"/>
                <w:sz w:val="18"/>
              </w:rPr>
              <w:t>Sensibilidad del indicador</w:t>
            </w:r>
          </w:p>
        </w:tc>
        <w:tc>
          <w:tcPr>
            <w:tcW w:type="dxa" w:w="1700"/>
            <w:shd w:val="clear" w:color="auto" w:fill="F6F8F8"/>
          </w:tcPr>
          <w:p>
            <w:pPr>
              <w:spacing w:before="20" w:after="20"/>
            </w:pPr>
            <w:r>
              <w:rPr>
                <w:rFonts w:ascii="Calibri" w:hAnsi="Calibri"/>
                <w:b w:val="0"/>
                <w:i w:val="0"/>
                <w:color w:val="1A2B33"/>
                <w:sz w:val="18"/>
              </w:rPr>
              <w:t>INTERPRETACIÓN</w:t>
            </w:r>
          </w:p>
        </w:tc>
        <w:tc>
          <w:tcPr>
            <w:tcW w:type="dxa" w:w="1560"/>
            <w:shd w:val="clear" w:color="auto" w:fill="F6F8F8"/>
          </w:tcPr>
          <w:p>
            <w:pPr>
              <w:spacing w:before="20" w:after="20"/>
            </w:pPr>
            <w:r>
              <w:rPr>
                <w:rFonts w:ascii="Calibri" w:hAnsi="Calibri"/>
                <w:b w:val="0"/>
                <w:i w:val="0"/>
                <w:color w:val="1A2B33"/>
                <w:sz w:val="18"/>
              </w:rPr>
              <w:t>rango</w:t>
            </w:r>
          </w:p>
        </w:tc>
        <w:tc>
          <w:tcPr>
            <w:tcW w:type="dxa" w:w="3100"/>
            <w:shd w:val="clear" w:color="auto" w:fill="F6F8F8"/>
          </w:tcPr>
          <w:p>
            <w:pPr>
              <w:spacing w:before="20" w:after="20"/>
            </w:pPr>
            <w:r>
              <w:rPr>
                <w:rFonts w:ascii="Calibri" w:hAnsi="Calibri"/>
                <w:b w:val="0"/>
                <w:i w:val="0"/>
                <w:color w:val="1A2B33"/>
                <w:sz w:val="18"/>
              </w:rPr>
              <w:t>Depende de las variaciones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SENSIBILIDAD</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INTERPRETACION</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INTERPRETACION</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9 hojas (5 visibles y 4 ocultas o auxiliares). Incorpora aproximadamente 131 fórmulas, 1 gráficos, 0 tablas estructuradas y 2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Adulto ficticio con peso, talla y (opcional) masa magra.</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las mediciones.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deriva la edad metabólica y muestra su sensibilidad.</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Se explica que es un recurso educativo, no un diagnóstico.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Katch-McArdle (sin edad) y Mifflin-St Jeor (con edad)</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Derivación del indicador</w:t>
            </w:r>
          </w:p>
        </w:tc>
        <w:tc>
          <w:tcPr>
            <w:tcW w:type="dxa" w:w="2000"/>
          </w:tcPr>
          <w:p>
            <w:pPr>
              <w:spacing w:before="20" w:after="20"/>
            </w:pPr>
            <w:r>
              <w:rPr>
                <w:rFonts w:ascii="Calibri" w:hAnsi="Calibri"/>
                <w:b w:val="0"/>
                <w:i w:val="0"/>
                <w:color w:val="1A2B33"/>
                <w:sz w:val="18"/>
              </w:rPr>
              <w:t>Sin validación normativa del constructo</w:t>
            </w:r>
          </w:p>
        </w:tc>
      </w:tr>
      <w:tr>
        <w:tc>
          <w:tcPr>
            <w:tcW w:type="dxa" w:w="1500"/>
            <w:shd w:val="clear" w:color="auto" w:fill="F6F8F8"/>
          </w:tcPr>
          <w:p>
            <w:pPr>
              <w:spacing w:before="20" w:after="20"/>
            </w:pPr>
            <w:r>
              <w:rPr>
                <w:rFonts w:ascii="Calibri" w:hAnsi="Calibri"/>
                <w:b w:val="0"/>
                <w:i w:val="0"/>
                <w:color w:val="1A2B33"/>
                <w:sz w:val="18"/>
              </w:rPr>
              <w:t>DECISIÓN_DE_INGENIERÍA</w:t>
            </w:r>
          </w:p>
        </w:tc>
        <w:tc>
          <w:tcPr>
            <w:tcW w:type="dxa" w:w="2600"/>
            <w:shd w:val="clear" w:color="auto" w:fill="F6F8F8"/>
          </w:tcPr>
          <w:p>
            <w:pPr>
              <w:spacing w:before="20" w:after="20"/>
            </w:pPr>
            <w:r>
              <w:rPr>
                <w:rFonts w:ascii="Calibri" w:hAnsi="Calibri"/>
                <w:b w:val="0"/>
                <w:i w:val="0"/>
                <w:color w:val="1A2B33"/>
                <w:sz w:val="18"/>
              </w:rPr>
              <w:t>Presentar el indicador con sus límites explícitos</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Comunicación educativa</w:t>
            </w:r>
          </w:p>
        </w:tc>
        <w:tc>
          <w:tcPr>
            <w:tcW w:type="dxa" w:w="2000"/>
            <w:shd w:val="clear" w:color="auto" w:fill="F6F8F8"/>
          </w:tcPr>
          <w:p>
            <w:pPr>
              <w:spacing w:before="20" w:after="20"/>
            </w:pPr>
            <w:r>
              <w:rPr>
                <w:rFonts w:ascii="Calibri" w:hAnsi="Calibri"/>
                <w:b w:val="0"/>
                <w:i w:val="0"/>
                <w:color w:val="1A2B33"/>
                <w:sz w:val="18"/>
              </w:rPr>
              <w:t>No es diagnóstico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Katch-McArdle / Mifflin-St Jeor</w:t>
            </w:r>
          </w:p>
        </w:tc>
        <w:tc>
          <w:tcPr>
            <w:tcW w:type="dxa" w:w="2600"/>
          </w:tcPr>
          <w:p>
            <w:pPr>
              <w:spacing w:before="20" w:after="20"/>
            </w:pPr>
            <w:r>
              <w:rPr>
                <w:rFonts w:ascii="Calibri" w:hAnsi="Calibri"/>
                <w:b w:val="0"/>
                <w:i w:val="0"/>
                <w:color w:val="1A2B33"/>
                <w:sz w:val="17"/>
              </w:rPr>
              <w:t>Ecuaciones de gasto (hechos no protegibles)</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Cálculo base del indicador</w:t>
            </w:r>
          </w:p>
        </w:tc>
        <w:tc>
          <w:tcPr>
            <w:tcW w:type="dxa" w:w="1700"/>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La 'edad metabólica' no tiene definición consensuada, método de referencia ni ecuaciones normativas revisadas por pares. Es un recurso de comunicación, no un instrumento diagnóstico ni de seguimiento clínico.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NMX-28-PACK · Guía del Pack de Antropometría (HUB)</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NMX-28-INTEGRADO · Pack Antropometría Integrado (un solo archivo)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NMX-12 · Calculadora de Grasa y Composición Corporal</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NMX-34</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NMX-34_Indicador_Educativo_Edad_Metabolica(4)_COMERCIAL_PRE_P19_REPARADO_PRE_P19.xlsx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NMX-34 · Indicador Educativo de Edad Metabólica</w:t>
            </w:r>
          </w:p>
          <w:p>
            <w:pPr>
              <w:spacing w:before="80" w:after="0"/>
              <w:jc w:val="center"/>
            </w:pPr>
            <w:r>
              <w:rPr>
                <w:rFonts w:ascii="Calibri" w:hAnsi="Calibri"/>
                <w:b w:val="0"/>
                <w:i w:val="0"/>
                <w:color w:val="EDF2F1"/>
                <w:sz w:val="20"/>
              </w:rPr>
              <w:t>Fase 8 · Complementarios y Guía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NMX-34 · Indicador Educativo de Edad Metabólica</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