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NMX-35</w:t>
      </w:r>
    </w:p>
    <w:p>
      <w:pPr>
        <w:spacing w:before="0" w:after="160" w:line="252" w:lineRule="auto"/>
      </w:pPr>
      <w:r>
        <w:rPr>
          <w:rFonts w:ascii="Calibri" w:hAnsi="Calibri"/>
          <w:b/>
          <w:i w:val="0"/>
          <w:color w:val="1A2B33"/>
          <w:sz w:val="38"/>
        </w:rPr>
        <w:t>Diario Dietético y Conductual</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3 · Evaluación y Registro</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Registro dietético-conductual</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NO_CONFIRMADO</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sin macros · Microsoft 365 y Excel 2021 (declarado en INICIO).</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NMX-35_Diario_Dietetico_Conductual_aprobado(2)_COMERCIAL_PRE_P19_REPARADO_PRE_P19.xlsx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NMX-35 · Diario Dietético y Conductual</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3 · Evaluación y Registro</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Registro dietético-conductual</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académico)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Registrar un diario dietético y conductual, calcular aportes y detectar patrones de consumo y conducta.</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Alimentación: Diario de alimentos y cantidades; Otros: Contexto conductual (emociones, situaciones)</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Aportes del diario; Patrones</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NO_CONFIRMADO</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sin macros · Microsoft 365 y Excel 2021 (declarado en INICIO).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NMX-35 combina el registro dietético con el registro conductual en un diario: además de anotar los alimentos (y calcular aportes con base INTA 2018), captura el contexto conductual del consumo y detecta patrones. Es una herramienta de evaluación dietética de la Fase 3 orientada a vincular ingesta y conducta.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Registrar un diario dietético y conductual, calcular aportes y detectar patrones de consumo y conducta.</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Registrar el diario (alimentos y contexto conductual).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Calcular aportes con base INTA.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Detectar patrones en la hoja PATRONES.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académico)</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Uso educativo; base INTA 2018.</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Diario dietético</w:t>
            </w:r>
          </w:p>
        </w:tc>
        <w:tc>
          <w:tcPr>
            <w:tcW w:type="dxa" w:w="2500"/>
          </w:tcPr>
          <w:p>
            <w:pPr>
              <w:spacing w:before="20" w:after="20"/>
            </w:pPr>
            <w:r>
              <w:rPr>
                <w:rFonts w:ascii="Calibri" w:hAnsi="Calibri"/>
                <w:b w:val="0"/>
                <w:i w:val="0"/>
                <w:color w:val="1A2B33"/>
                <w:sz w:val="18"/>
              </w:rPr>
              <w:t>Registra alimentos y contexto</w:t>
            </w:r>
          </w:p>
        </w:tc>
        <w:tc>
          <w:tcPr>
            <w:tcW w:type="dxa" w:w="2000"/>
          </w:tcPr>
          <w:p>
            <w:pPr>
              <w:spacing w:before="20" w:after="20"/>
            </w:pPr>
            <w:r>
              <w:rPr>
                <w:rFonts w:ascii="Calibri" w:hAnsi="Calibri"/>
                <w:b w:val="0"/>
                <w:i w:val="0"/>
                <w:color w:val="1A2B33"/>
                <w:sz w:val="18"/>
              </w:rPr>
              <w:t>Alimentos + contexto</w:t>
            </w:r>
          </w:p>
        </w:tc>
        <w:tc>
          <w:tcPr>
            <w:tcW w:type="dxa" w:w="2160"/>
          </w:tcPr>
          <w:p>
            <w:pPr>
              <w:spacing w:before="20" w:after="20"/>
            </w:pPr>
            <w:r>
              <w:rPr>
                <w:rFonts w:ascii="Calibri" w:hAnsi="Calibri"/>
                <w:b w:val="0"/>
                <w:i w:val="0"/>
                <w:color w:val="1A2B33"/>
                <w:sz w:val="18"/>
              </w:rPr>
              <w:t>Diario completado</w:t>
            </w:r>
          </w:p>
        </w:tc>
        <w:tc>
          <w:tcPr>
            <w:tcW w:type="dxa" w:w="1200"/>
          </w:tcPr>
          <w:p>
            <w:pPr>
              <w:spacing w:before="20" w:after="20"/>
            </w:pPr>
            <w:r>
              <w:rPr>
                <w:rFonts w:ascii="Calibri" w:hAnsi="Calibri"/>
                <w:b w:val="0"/>
                <w:i w:val="0"/>
                <w:color w:val="1A2B33"/>
                <w:sz w:val="18"/>
              </w:rPr>
              <w:t>Básico</w:t>
            </w:r>
          </w:p>
        </w:tc>
      </w:tr>
      <w:tr>
        <w:tc>
          <w:tcPr>
            <w:tcW w:type="dxa" w:w="1500"/>
            <w:shd w:val="clear" w:color="auto" w:fill="F6F8F8"/>
          </w:tcPr>
          <w:p>
            <w:pPr>
              <w:spacing w:before="20" w:after="20"/>
            </w:pPr>
            <w:r>
              <w:rPr>
                <w:rFonts w:ascii="Calibri" w:hAnsi="Calibri"/>
                <w:b w:val="0"/>
                <w:i w:val="0"/>
                <w:color w:val="1A2B33"/>
                <w:sz w:val="18"/>
              </w:rPr>
              <w:t>Cálculo de aportes</w:t>
            </w:r>
          </w:p>
        </w:tc>
        <w:tc>
          <w:tcPr>
            <w:tcW w:type="dxa" w:w="2500"/>
            <w:shd w:val="clear" w:color="auto" w:fill="F6F8F8"/>
          </w:tcPr>
          <w:p>
            <w:pPr>
              <w:spacing w:before="20" w:after="20"/>
            </w:pPr>
            <w:r>
              <w:rPr>
                <w:rFonts w:ascii="Calibri" w:hAnsi="Calibri"/>
                <w:b w:val="0"/>
                <w:i w:val="0"/>
                <w:color w:val="1A2B33"/>
                <w:sz w:val="18"/>
              </w:rPr>
              <w:t>Suma aportes con base INTA</w:t>
            </w:r>
          </w:p>
        </w:tc>
        <w:tc>
          <w:tcPr>
            <w:tcW w:type="dxa" w:w="2000"/>
            <w:shd w:val="clear" w:color="auto" w:fill="F6F8F8"/>
          </w:tcPr>
          <w:p>
            <w:pPr>
              <w:spacing w:before="20" w:after="20"/>
            </w:pPr>
            <w:r>
              <w:rPr>
                <w:rFonts w:ascii="Calibri" w:hAnsi="Calibri"/>
                <w:b w:val="0"/>
                <w:i w:val="0"/>
                <w:color w:val="1A2B33"/>
                <w:sz w:val="18"/>
              </w:rPr>
              <w:t>Diario</w:t>
            </w:r>
          </w:p>
        </w:tc>
        <w:tc>
          <w:tcPr>
            <w:tcW w:type="dxa" w:w="2160"/>
            <w:shd w:val="clear" w:color="auto" w:fill="F6F8F8"/>
          </w:tcPr>
          <w:p>
            <w:pPr>
              <w:spacing w:before="20" w:after="20"/>
            </w:pPr>
            <w:r>
              <w:rPr>
                <w:rFonts w:ascii="Calibri" w:hAnsi="Calibri"/>
                <w:b w:val="0"/>
                <w:i w:val="0"/>
                <w:color w:val="1A2B33"/>
                <w:sz w:val="18"/>
              </w:rPr>
              <w:t>Aportes por nutriente</w:t>
            </w:r>
          </w:p>
        </w:tc>
        <w:tc>
          <w:tcPr>
            <w:tcW w:type="dxa" w:w="1200"/>
            <w:shd w:val="clear" w:color="auto" w:fill="F6F8F8"/>
          </w:tcPr>
          <w:p>
            <w:pPr>
              <w:spacing w:before="20" w:after="20"/>
            </w:pPr>
            <w:r>
              <w:rPr>
                <w:rFonts w:ascii="Calibri" w:hAnsi="Calibri"/>
                <w:b w:val="0"/>
                <w:i w:val="0"/>
                <w:color w:val="1A2B33"/>
                <w:sz w:val="18"/>
              </w:rPr>
              <w:t>Intermedio</w:t>
            </w:r>
          </w:p>
        </w:tc>
      </w:tr>
      <w:tr>
        <w:tc>
          <w:tcPr>
            <w:tcW w:type="dxa" w:w="1500"/>
          </w:tcPr>
          <w:p>
            <w:pPr>
              <w:spacing w:before="20" w:after="20"/>
            </w:pPr>
            <w:r>
              <w:rPr>
                <w:rFonts w:ascii="Calibri" w:hAnsi="Calibri"/>
                <w:b w:val="0"/>
                <w:i w:val="0"/>
                <w:color w:val="1A2B33"/>
                <w:sz w:val="18"/>
              </w:rPr>
              <w:t>Detección de patrones</w:t>
            </w:r>
          </w:p>
        </w:tc>
        <w:tc>
          <w:tcPr>
            <w:tcW w:type="dxa" w:w="2500"/>
          </w:tcPr>
          <w:p>
            <w:pPr>
              <w:spacing w:before="20" w:after="20"/>
            </w:pPr>
            <w:r>
              <w:rPr>
                <w:rFonts w:ascii="Calibri" w:hAnsi="Calibri"/>
                <w:b w:val="0"/>
                <w:i w:val="0"/>
                <w:color w:val="1A2B33"/>
                <w:sz w:val="18"/>
              </w:rPr>
              <w:t>Identifica patrones de consumo/conducta</w:t>
            </w:r>
          </w:p>
        </w:tc>
        <w:tc>
          <w:tcPr>
            <w:tcW w:type="dxa" w:w="2000"/>
          </w:tcPr>
          <w:p>
            <w:pPr>
              <w:spacing w:before="20" w:after="20"/>
            </w:pPr>
            <w:r>
              <w:rPr>
                <w:rFonts w:ascii="Calibri" w:hAnsi="Calibri"/>
                <w:b w:val="0"/>
                <w:i w:val="0"/>
                <w:color w:val="1A2B33"/>
                <w:sz w:val="18"/>
              </w:rPr>
              <w:t>Diario</w:t>
            </w:r>
          </w:p>
        </w:tc>
        <w:tc>
          <w:tcPr>
            <w:tcW w:type="dxa" w:w="2160"/>
          </w:tcPr>
          <w:p>
            <w:pPr>
              <w:spacing w:before="20" w:after="20"/>
            </w:pPr>
            <w:r>
              <w:rPr>
                <w:rFonts w:ascii="Calibri" w:hAnsi="Calibri"/>
                <w:b w:val="0"/>
                <w:i w:val="0"/>
                <w:color w:val="1A2B33"/>
                <w:sz w:val="18"/>
              </w:rPr>
              <w:t>Patrones</w:t>
            </w:r>
          </w:p>
        </w:tc>
        <w:tc>
          <w:tcPr>
            <w:tcW w:type="dxa" w:w="1200"/>
          </w:tcPr>
          <w:p>
            <w:pPr>
              <w:spacing w:before="20" w:after="20"/>
            </w:pPr>
            <w:r>
              <w:rPr>
                <w:rFonts w:ascii="Calibri" w:hAnsi="Calibri"/>
                <w:b w:val="0"/>
                <w:i w:val="0"/>
                <w:color w:val="1A2B33"/>
                <w:sz w:val="18"/>
              </w:rPr>
              <w:t>Intermedio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Alimentación</w:t>
      </w:r>
    </w:p>
    <w:p>
      <w:pPr>
        <w:spacing w:before="40" w:after="60" w:line="276" w:lineRule="auto"/>
      </w:pPr>
      <w:r>
        <w:rPr>
          <w:rFonts w:ascii="Calibri" w:hAnsi="Calibri"/>
          <w:b w:val="0"/>
          <w:i w:val="0"/>
          <w:color w:val="1A2B33"/>
          <w:sz w:val="19"/>
        </w:rPr>
        <w:t>Diario de alimentos y cantidades</w:t>
      </w:r>
    </w:p>
    <w:p>
      <w:pPr>
        <w:spacing w:before="60" w:after="20" w:line="276" w:lineRule="auto"/>
      </w:pPr>
      <w:r>
        <w:rPr>
          <w:rFonts w:ascii="Calibri" w:hAnsi="Calibri"/>
          <w:b/>
          <w:i w:val="0"/>
          <w:color w:val="0A3E3A"/>
          <w:sz w:val="20"/>
        </w:rPr>
        <w:t>Otros</w:t>
      </w:r>
    </w:p>
    <w:p>
      <w:pPr>
        <w:spacing w:before="40" w:after="60" w:line="276" w:lineRule="auto"/>
      </w:pPr>
      <w:r>
        <w:rPr>
          <w:rFonts w:ascii="Calibri" w:hAnsi="Calibri"/>
          <w:b w:val="0"/>
          <w:i w:val="0"/>
          <w:color w:val="1A2B33"/>
          <w:sz w:val="19"/>
        </w:rPr>
        <w:t>Contexto conductual (emociones, situaciones)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Aportes del diario</w:t>
            </w:r>
          </w:p>
        </w:tc>
        <w:tc>
          <w:tcPr>
            <w:tcW w:type="dxa" w:w="1700"/>
          </w:tcPr>
          <w:p>
            <w:pPr>
              <w:spacing w:before="20" w:after="20"/>
            </w:pPr>
            <w:r>
              <w:rPr>
                <w:rFonts w:ascii="Calibri" w:hAnsi="Calibri"/>
                <w:b w:val="0"/>
                <w:i w:val="0"/>
                <w:color w:val="1A2B33"/>
                <w:sz w:val="18"/>
              </w:rPr>
              <w:t>CÁLCULO</w:t>
            </w:r>
          </w:p>
        </w:tc>
        <w:tc>
          <w:tcPr>
            <w:tcW w:type="dxa" w:w="1560"/>
          </w:tcPr>
          <w:p>
            <w:pPr>
              <w:spacing w:before="20" w:after="20"/>
            </w:pPr>
            <w:r>
              <w:rPr>
                <w:rFonts w:ascii="Calibri" w:hAnsi="Calibri"/>
                <w:b w:val="0"/>
                <w:i w:val="0"/>
                <w:color w:val="1A2B33"/>
                <w:sz w:val="18"/>
              </w:rPr>
              <w:t>por nutriente</w:t>
            </w:r>
          </w:p>
        </w:tc>
        <w:tc>
          <w:tcPr>
            <w:tcW w:type="dxa" w:w="3100"/>
          </w:tcPr>
          <w:p>
            <w:pPr>
              <w:spacing w:before="20" w:after="20"/>
            </w:pPr>
            <w:r>
              <w:rPr>
                <w:rFonts w:ascii="Calibri" w:hAnsi="Calibri"/>
                <w:b w:val="0"/>
                <w:i w:val="0"/>
                <w:color w:val="1A2B33"/>
                <w:sz w:val="18"/>
              </w:rPr>
              <w:t>Depende del diario</w:t>
            </w:r>
          </w:p>
        </w:tc>
      </w:tr>
      <w:tr>
        <w:tc>
          <w:tcPr>
            <w:tcW w:type="dxa" w:w="3000"/>
            <w:shd w:val="clear" w:color="auto" w:fill="F6F8F8"/>
          </w:tcPr>
          <w:p>
            <w:pPr>
              <w:spacing w:before="20" w:after="20"/>
            </w:pPr>
            <w:r>
              <w:rPr>
                <w:rFonts w:ascii="Calibri" w:hAnsi="Calibri"/>
                <w:b w:val="0"/>
                <w:i w:val="0"/>
                <w:color w:val="1A2B33"/>
                <w:sz w:val="18"/>
              </w:rPr>
              <w:t>Patrones</w:t>
            </w:r>
          </w:p>
        </w:tc>
        <w:tc>
          <w:tcPr>
            <w:tcW w:type="dxa" w:w="1700"/>
            <w:shd w:val="clear" w:color="auto" w:fill="F6F8F8"/>
          </w:tcPr>
          <w:p>
            <w:pPr>
              <w:spacing w:before="20" w:after="20"/>
            </w:pPr>
            <w:r>
              <w:rPr>
                <w:rFonts w:ascii="Calibri" w:hAnsi="Calibri"/>
                <w:b w:val="0"/>
                <w:i w:val="0"/>
                <w:color w:val="1A2B33"/>
                <w:sz w:val="18"/>
              </w:rPr>
              <w:t>INTERPRETACIÓN</w:t>
            </w:r>
          </w:p>
        </w:tc>
        <w:tc>
          <w:tcPr>
            <w:tcW w:type="dxa" w:w="1560"/>
            <w:shd w:val="clear" w:color="auto" w:fill="F6F8F8"/>
          </w:tcPr>
          <w:p>
            <w:pPr>
              <w:spacing w:before="20" w:after="20"/>
            </w:pPr>
            <w:r>
              <w:rPr>
                <w:rFonts w:ascii="Calibri" w:hAnsi="Calibri"/>
                <w:b w:val="0"/>
                <w:i w:val="0"/>
                <w:color w:val="1A2B33"/>
                <w:sz w:val="18"/>
              </w:rPr>
              <w:t>cualitativa</w:t>
            </w:r>
          </w:p>
        </w:tc>
        <w:tc>
          <w:tcPr>
            <w:tcW w:type="dxa" w:w="3100"/>
            <w:shd w:val="clear" w:color="auto" w:fill="F6F8F8"/>
          </w:tcPr>
          <w:p>
            <w:pPr>
              <w:spacing w:before="20" w:after="20"/>
            </w:pPr>
            <w:r>
              <w:rPr>
                <w:rFonts w:ascii="Calibri" w:hAnsi="Calibri"/>
                <w:b w:val="0"/>
                <w:i w:val="0"/>
                <w:color w:val="1A2B33"/>
                <w:sz w:val="18"/>
              </w:rPr>
              <w:t>Depende del registro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DIARIO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ALIMENTOS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CALCULOS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PATRONES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RESULTADOS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DIARIO</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PATRONES</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RESULTADOS</w:t>
            </w:r>
          </w:p>
        </w:tc>
        <w:tc>
          <w:tcPr>
            <w:tcW w:type="dxa" w:w="5760"/>
            <w:shd w:val="clear" w:color="auto" w:fill="F6F8F8"/>
          </w:tcPr>
          <w:p>
            <w:pPr>
              <w:spacing w:before="20" w:after="20"/>
            </w:pPr>
            <w:r>
              <w:rPr>
                <w:rFonts w:ascii="Calibri" w:hAnsi="Calibri"/>
                <w:b w:val="0"/>
                <w:i w:val="0"/>
                <w:color w:val="1A2B33"/>
                <w:sz w:val="18"/>
              </w:rPr>
              <w:t>RESULTADOS</w:t>
            </w:r>
          </w:p>
        </w:tc>
      </w:tr>
      <w:tr>
        <w:tc>
          <w:tcPr>
            <w:tcW w:type="dxa" w:w="3600"/>
          </w:tcPr>
          <w:p>
            <w:pPr>
              <w:spacing w:before="20" w:after="20"/>
            </w:pPr>
            <w:r>
              <w:rPr>
                <w:rFonts w:ascii="Calibri" w:hAnsi="Calibri"/>
                <w:b w:val="0"/>
                <w:i w:val="0"/>
                <w:color w:val="1A2B33"/>
                <w:sz w:val="18"/>
              </w:rPr>
              <w:t>FUENTES</w:t>
            </w:r>
          </w:p>
        </w:tc>
        <w:tc>
          <w:tcPr>
            <w:tcW w:type="dxa" w:w="5760"/>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11 hojas (11 visibles y 0 ocultas o auxiliares). Incorpora aproximadamente 241 fórmulas, 3 gráficos, 0 tablas estructuradas y 15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Diario ficticio de varios días con contexto emocional.</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registran alimentos y el contexto de cada consumo.</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libro calcula aportes y detecta patrones.</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La lectura vincula ingesta y conducta con fin educativo.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CRITERIO</w:t>
            </w:r>
          </w:p>
        </w:tc>
        <w:tc>
          <w:tcPr>
            <w:tcW w:type="dxa" w:w="2600"/>
          </w:tcPr>
          <w:p>
            <w:pPr>
              <w:spacing w:before="20" w:after="20"/>
            </w:pPr>
            <w:r>
              <w:rPr>
                <w:rFonts w:ascii="Calibri" w:hAnsi="Calibri"/>
                <w:b w:val="0"/>
                <w:i w:val="0"/>
                <w:color w:val="1A2B33"/>
                <w:sz w:val="18"/>
              </w:rPr>
              <w:t>Diario dietético y conductual</w:t>
            </w:r>
          </w:p>
        </w:tc>
        <w:tc>
          <w:tcPr>
            <w:tcW w:type="dxa" w:w="1500"/>
          </w:tcPr>
          <w:p>
            <w:pPr>
              <w:spacing w:before="20" w:after="20"/>
            </w:pPr>
            <w:r>
              <w:rPr>
                <w:rFonts w:ascii="Calibri" w:hAnsi="Calibri"/>
                <w:b w:val="0"/>
                <w:i w:val="0"/>
                <w:color w:val="1A2B33"/>
                <w:sz w:val="18"/>
              </w:rPr>
              <w:t>Educativa</w:t>
            </w:r>
          </w:p>
        </w:tc>
        <w:tc>
          <w:tcPr>
            <w:tcW w:type="dxa" w:w="1760"/>
          </w:tcPr>
          <w:p>
            <w:pPr>
              <w:spacing w:before="20" w:after="20"/>
            </w:pPr>
            <w:r>
              <w:rPr>
                <w:rFonts w:ascii="Calibri" w:hAnsi="Calibri"/>
                <w:b w:val="0"/>
                <w:i w:val="0"/>
                <w:color w:val="1A2B33"/>
                <w:sz w:val="18"/>
              </w:rPr>
              <w:t>Evaluación de patrones</w:t>
            </w:r>
          </w:p>
        </w:tc>
        <w:tc>
          <w:tcPr>
            <w:tcW w:type="dxa" w:w="2000"/>
          </w:tcPr>
          <w:p>
            <w:pPr>
              <w:spacing w:before="20" w:after="20"/>
            </w:pPr>
            <w:r>
              <w:rPr>
                <w:rFonts w:ascii="Calibri" w:hAnsi="Calibri"/>
                <w:b w:val="0"/>
                <w:i w:val="0"/>
                <w:color w:val="1A2B33"/>
                <w:sz w:val="18"/>
              </w:rPr>
              <w:t>Depende de la constancia del registro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INTA, Universidad de Chile</w:t>
            </w:r>
          </w:p>
        </w:tc>
        <w:tc>
          <w:tcPr>
            <w:tcW w:type="dxa" w:w="2600"/>
          </w:tcPr>
          <w:p>
            <w:pPr>
              <w:spacing w:before="20" w:after="20"/>
            </w:pPr>
            <w:r>
              <w:rPr>
                <w:rFonts w:ascii="Calibri" w:hAnsi="Calibri"/>
                <w:b w:val="0"/>
                <w:i w:val="0"/>
                <w:color w:val="1A2B33"/>
                <w:sz w:val="17"/>
              </w:rPr>
              <w:t>Tabla de Composición de Alimentos</w:t>
            </w:r>
          </w:p>
        </w:tc>
        <w:tc>
          <w:tcPr>
            <w:tcW w:type="dxa" w:w="700"/>
          </w:tcPr>
          <w:p>
            <w:pPr>
              <w:spacing w:before="20" w:after="20"/>
            </w:pPr>
            <w:r>
              <w:rPr>
                <w:rFonts w:ascii="Calibri" w:hAnsi="Calibri"/>
                <w:b w:val="0"/>
                <w:i w:val="0"/>
                <w:color w:val="1A2B33"/>
                <w:sz w:val="17"/>
              </w:rPr>
              <w:t>2018</w:t>
            </w:r>
          </w:p>
        </w:tc>
        <w:tc>
          <w:tcPr>
            <w:tcW w:type="dxa" w:w="2160"/>
          </w:tcPr>
          <w:p>
            <w:pPr>
              <w:spacing w:before="20" w:after="20"/>
            </w:pPr>
            <w:r>
              <w:rPr>
                <w:rFonts w:ascii="Calibri" w:hAnsi="Calibri"/>
                <w:b w:val="0"/>
                <w:i w:val="0"/>
                <w:color w:val="1A2B33"/>
                <w:sz w:val="17"/>
              </w:rPr>
              <w:t>Base alimentaria</w:t>
            </w:r>
          </w:p>
        </w:tc>
        <w:tc>
          <w:tcPr>
            <w:tcW w:type="dxa" w:w="1700"/>
          </w:tcPr>
          <w:p>
            <w:pPr>
              <w:spacing w:before="20" w:after="20"/>
            </w:pPr>
            <w:r>
              <w:rPr>
                <w:rFonts w:ascii="Calibri" w:hAnsi="Calibri"/>
                <w:b w:val="0"/>
                <w:i w:val="0"/>
                <w:color w:val="1A2B33"/>
                <w:sz w:val="17"/>
              </w:rPr>
              <w:t>FUENTE_PRIMARIA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Depende de la constancia y sinceridad del registro. Los patrones son orientadores educativos. Base INTA de distribución autorizada.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académico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Herramienta de apoyo</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NMX-13 · Recordatorio de 24 Horas (con catálogo PAL, NMX-01)</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NMX-24 · Seguimiento Mensual de Hábitos (Habit Tracker)</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NMX-P1 · Guía del Paquete (Siete Herramientas)</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NMX-35</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NMX-35_Diario_Dietetico_Conductual_aprobado(2)_COMERCIAL_PRE_P19_REPARADO_PRE_P19.xlsx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NO_CONFIRMADO</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NMX-35 · Diario Dietético y Conductual</w:t>
            </w:r>
          </w:p>
          <w:p>
            <w:pPr>
              <w:spacing w:before="80" w:after="0"/>
              <w:jc w:val="center"/>
            </w:pPr>
            <w:r>
              <w:rPr>
                <w:rFonts w:ascii="Calibri" w:hAnsi="Calibri"/>
                <w:b w:val="0"/>
                <w:i w:val="0"/>
                <w:color w:val="EDF2F1"/>
                <w:sz w:val="20"/>
              </w:rPr>
              <w:t>Fase 3 · Evaluación y Registro · NO_CONFIRMADO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NMX-35 · Diario Dietético y Conductual</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