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NMX-36</w:t>
      </w:r>
    </w:p>
    <w:p>
      <w:pPr>
        <w:spacing w:before="0" w:after="160" w:line="252" w:lineRule="auto"/>
      </w:pPr>
      <w:r>
        <w:rPr>
          <w:rFonts w:ascii="Calibri" w:hAnsi="Calibri"/>
          <w:b/>
          <w:i w:val="0"/>
          <w:color w:val="1A2B33"/>
          <w:sz w:val="38"/>
        </w:rPr>
        <w:t>Calculadora Especializada de Plicometría</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1 · Motores</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Motor de pliegues cutáneos</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NMX-36_INICIO aprobado(2)_COMERCIAL_PRE_P19_REPARADO_PRE_P19.xlsx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NMX-36 · Calculadora Especializada de Plicometría</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1 · Motores</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Motor de pliegues cutáneos</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Estimar densidad corporal y porcentaje de grasa a partir de pliegues cutáneos, con trazabilidad de cada ecuación y su población.</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Antropometría: Pliegues cutáneos (sitios requeridos), Sexo, Edad</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Densidad corporal; % grasa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NMX-36 es la calculadora de plicometría de la suite. A partir de los pliegues cutáneos registrados estima la densidad corporal y el porcentaje de grasa mediante ecuaciones publicadas (p. ej. Jackson–Pollock), advirtiendo explícitamente que las ecuaciones de pliegues NO son intercambiables y que cada una tiene su población de derivación. La hoja FUENTES documenta autor, año y nivel de verificación. Motor de la Fase 1.</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Estimar densidad corporal y porcentaje de grasa a partir de pliegues cutáneos, con trazabilidad de cada ecuación y su población.</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los pliegues cutáneos (hoja PLIEGUES).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Estimar densidad y % de grasa según la ecuación aplicable.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Consultar la población de derivación de cada ecuación.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Adultos evaluados por pliegues cutáneos (según ecuación seleccionada y su población de derivación).</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Estimación de densidad</w:t>
            </w:r>
          </w:p>
        </w:tc>
        <w:tc>
          <w:tcPr>
            <w:tcW w:type="dxa" w:w="2500"/>
          </w:tcPr>
          <w:p>
            <w:pPr>
              <w:spacing w:before="20" w:after="20"/>
            </w:pPr>
            <w:r>
              <w:rPr>
                <w:rFonts w:ascii="Calibri" w:hAnsi="Calibri"/>
                <w:b w:val="0"/>
                <w:i w:val="0"/>
                <w:color w:val="1A2B33"/>
                <w:sz w:val="18"/>
              </w:rPr>
              <w:t>Aplica la ecuación de pliegues seleccionada</w:t>
            </w:r>
          </w:p>
        </w:tc>
        <w:tc>
          <w:tcPr>
            <w:tcW w:type="dxa" w:w="2000"/>
          </w:tcPr>
          <w:p>
            <w:pPr>
              <w:spacing w:before="20" w:after="20"/>
            </w:pPr>
            <w:r>
              <w:rPr>
                <w:rFonts w:ascii="Calibri" w:hAnsi="Calibri"/>
                <w:b w:val="0"/>
                <w:i w:val="0"/>
                <w:color w:val="1A2B33"/>
                <w:sz w:val="18"/>
              </w:rPr>
              <w:t>Pliegues, sexo, edad</w:t>
            </w:r>
          </w:p>
        </w:tc>
        <w:tc>
          <w:tcPr>
            <w:tcW w:type="dxa" w:w="2160"/>
          </w:tcPr>
          <w:p>
            <w:pPr>
              <w:spacing w:before="20" w:after="20"/>
            </w:pPr>
            <w:r>
              <w:rPr>
                <w:rFonts w:ascii="Calibri" w:hAnsi="Calibri"/>
                <w:b w:val="0"/>
                <w:i w:val="0"/>
                <w:color w:val="1A2B33"/>
                <w:sz w:val="18"/>
              </w:rPr>
              <w:t>Densidad corporal</w:t>
            </w:r>
          </w:p>
        </w:tc>
        <w:tc>
          <w:tcPr>
            <w:tcW w:type="dxa" w:w="1200"/>
          </w:tcPr>
          <w:p>
            <w:pPr>
              <w:spacing w:before="20" w:after="20"/>
            </w:pPr>
            <w:r>
              <w:rPr>
                <w:rFonts w:ascii="Calibri" w:hAnsi="Calibri"/>
                <w:b w:val="0"/>
                <w:i w:val="0"/>
                <w:color w:val="1A2B33"/>
                <w:sz w:val="18"/>
              </w:rPr>
              <w:t>Avanzado</w:t>
            </w:r>
          </w:p>
        </w:tc>
      </w:tr>
      <w:tr>
        <w:tc>
          <w:tcPr>
            <w:tcW w:type="dxa" w:w="1500"/>
            <w:shd w:val="clear" w:color="auto" w:fill="F6F8F8"/>
          </w:tcPr>
          <w:p>
            <w:pPr>
              <w:spacing w:before="20" w:after="20"/>
            </w:pPr>
            <w:r>
              <w:rPr>
                <w:rFonts w:ascii="Calibri" w:hAnsi="Calibri"/>
                <w:b w:val="0"/>
                <w:i w:val="0"/>
                <w:color w:val="1A2B33"/>
                <w:sz w:val="18"/>
              </w:rPr>
              <w:t>Conversión a % grasa</w:t>
            </w:r>
          </w:p>
        </w:tc>
        <w:tc>
          <w:tcPr>
            <w:tcW w:type="dxa" w:w="2500"/>
            <w:shd w:val="clear" w:color="auto" w:fill="F6F8F8"/>
          </w:tcPr>
          <w:p>
            <w:pPr>
              <w:spacing w:before="20" w:after="20"/>
            </w:pPr>
            <w:r>
              <w:rPr>
                <w:rFonts w:ascii="Calibri" w:hAnsi="Calibri"/>
                <w:b w:val="0"/>
                <w:i w:val="0"/>
                <w:color w:val="1A2B33"/>
                <w:sz w:val="18"/>
              </w:rPr>
              <w:t>Convierte densidad en % de grasa</w:t>
            </w:r>
          </w:p>
        </w:tc>
        <w:tc>
          <w:tcPr>
            <w:tcW w:type="dxa" w:w="2000"/>
            <w:shd w:val="clear" w:color="auto" w:fill="F6F8F8"/>
          </w:tcPr>
          <w:p>
            <w:pPr>
              <w:spacing w:before="20" w:after="20"/>
            </w:pPr>
            <w:r>
              <w:rPr>
                <w:rFonts w:ascii="Calibri" w:hAnsi="Calibri"/>
                <w:b w:val="0"/>
                <w:i w:val="0"/>
                <w:color w:val="1A2B33"/>
                <w:sz w:val="18"/>
              </w:rPr>
              <w:t>Densidad</w:t>
            </w:r>
          </w:p>
        </w:tc>
        <w:tc>
          <w:tcPr>
            <w:tcW w:type="dxa" w:w="2160"/>
            <w:shd w:val="clear" w:color="auto" w:fill="F6F8F8"/>
          </w:tcPr>
          <w:p>
            <w:pPr>
              <w:spacing w:before="20" w:after="20"/>
            </w:pPr>
            <w:r>
              <w:rPr>
                <w:rFonts w:ascii="Calibri" w:hAnsi="Calibri"/>
                <w:b w:val="0"/>
                <w:i w:val="0"/>
                <w:color w:val="1A2B33"/>
                <w:sz w:val="18"/>
              </w:rPr>
              <w:t>% grasa</w:t>
            </w:r>
          </w:p>
        </w:tc>
        <w:tc>
          <w:tcPr>
            <w:tcW w:type="dxa" w:w="1200"/>
            <w:shd w:val="clear" w:color="auto" w:fill="F6F8F8"/>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Antropometría</w:t>
      </w:r>
    </w:p>
    <w:p>
      <w:pPr>
        <w:spacing w:before="40" w:after="60" w:line="276" w:lineRule="auto"/>
      </w:pPr>
      <w:r>
        <w:rPr>
          <w:rFonts w:ascii="Calibri" w:hAnsi="Calibri"/>
          <w:b w:val="0"/>
          <w:i w:val="0"/>
          <w:color w:val="1A2B33"/>
          <w:sz w:val="19"/>
        </w:rPr>
        <w:t>Pliegues cutáneos (sitios requeridos), Sexo, Edad</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Densidad corporal</w:t>
            </w:r>
          </w:p>
        </w:tc>
        <w:tc>
          <w:tcPr>
            <w:tcW w:type="dxa" w:w="1700"/>
          </w:tcPr>
          <w:p>
            <w:pPr>
              <w:spacing w:before="20" w:after="20"/>
            </w:pPr>
            <w:r>
              <w:rPr>
                <w:rFonts w:ascii="Calibri" w:hAnsi="Calibri"/>
                <w:b w:val="0"/>
                <w:i w:val="0"/>
                <w:color w:val="1A2B33"/>
                <w:sz w:val="18"/>
              </w:rPr>
              <w:t>CÁLCULO</w:t>
            </w:r>
          </w:p>
        </w:tc>
        <w:tc>
          <w:tcPr>
            <w:tcW w:type="dxa" w:w="1560"/>
          </w:tcPr>
          <w:p>
            <w:pPr>
              <w:spacing w:before="20" w:after="20"/>
            </w:pPr>
            <w:r>
              <w:rPr>
                <w:rFonts w:ascii="Calibri" w:hAnsi="Calibri"/>
                <w:b w:val="0"/>
                <w:i w:val="0"/>
                <w:color w:val="1A2B33"/>
                <w:sz w:val="18"/>
              </w:rPr>
              <w:t>g/cm³</w:t>
            </w:r>
          </w:p>
        </w:tc>
        <w:tc>
          <w:tcPr>
            <w:tcW w:type="dxa" w:w="3100"/>
          </w:tcPr>
          <w:p>
            <w:pPr>
              <w:spacing w:before="20" w:after="20"/>
            </w:pPr>
            <w:r>
              <w:rPr>
                <w:rFonts w:ascii="Calibri" w:hAnsi="Calibri"/>
                <w:b w:val="0"/>
                <w:i w:val="0"/>
                <w:color w:val="1A2B33"/>
                <w:sz w:val="18"/>
              </w:rPr>
              <w:t>Depende de los pliegues</w:t>
            </w:r>
          </w:p>
        </w:tc>
      </w:tr>
      <w:tr>
        <w:tc>
          <w:tcPr>
            <w:tcW w:type="dxa" w:w="3000"/>
            <w:shd w:val="clear" w:color="auto" w:fill="F6F8F8"/>
          </w:tcPr>
          <w:p>
            <w:pPr>
              <w:spacing w:before="20" w:after="20"/>
            </w:pPr>
            <w:r>
              <w:rPr>
                <w:rFonts w:ascii="Calibri" w:hAnsi="Calibri"/>
                <w:b w:val="0"/>
                <w:i w:val="0"/>
                <w:color w:val="1A2B33"/>
                <w:sz w:val="18"/>
              </w:rPr>
              <w:t>% grasa</w:t>
            </w:r>
          </w:p>
        </w:tc>
        <w:tc>
          <w:tcPr>
            <w:tcW w:type="dxa" w:w="1700"/>
            <w:shd w:val="clear" w:color="auto" w:fill="F6F8F8"/>
          </w:tcPr>
          <w:p>
            <w:pPr>
              <w:spacing w:before="20" w:after="20"/>
            </w:pPr>
            <w:r>
              <w:rPr>
                <w:rFonts w:ascii="Calibri" w:hAnsi="Calibri"/>
                <w:b w:val="0"/>
                <w:i w:val="0"/>
                <w:color w:val="1A2B33"/>
                <w:sz w:val="18"/>
              </w:rPr>
              <w:t>CÁLCULO</w:t>
            </w:r>
          </w:p>
        </w:tc>
        <w:tc>
          <w:tcPr>
            <w:tcW w:type="dxa" w:w="1560"/>
            <w:shd w:val="clear" w:color="auto" w:fill="F6F8F8"/>
          </w:tcPr>
          <w:p>
            <w:pPr>
              <w:spacing w:before="20" w:after="20"/>
            </w:pPr>
            <w:r>
              <w:rPr>
                <w:rFonts w:ascii="Calibri" w:hAnsi="Calibri"/>
                <w:b w:val="0"/>
                <w:i w:val="0"/>
                <w:color w:val="1A2B33"/>
                <w:sz w:val="18"/>
              </w:rPr>
              <w:t>%</w:t>
            </w:r>
          </w:p>
        </w:tc>
        <w:tc>
          <w:tcPr>
            <w:tcW w:type="dxa" w:w="3100"/>
            <w:shd w:val="clear" w:color="auto" w:fill="F6F8F8"/>
          </w:tcPr>
          <w:p>
            <w:pPr>
              <w:spacing w:before="20" w:after="20"/>
            </w:pPr>
            <w:r>
              <w:rPr>
                <w:rFonts w:ascii="Calibri" w:hAnsi="Calibri"/>
                <w:b w:val="0"/>
                <w:i w:val="0"/>
                <w:color w:val="1A2B33"/>
                <w:sz w:val="18"/>
              </w:rPr>
              <w:t>Depende de la ecuación y conversión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DATOS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PLIEGUES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CALCULOS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PLIEGUES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9 hojas (9 visibles y 0 ocultas o auxiliares). Incorpora aproximadamente 192 fórmulas, 2 gráficos, 0 tablas estructuradas y 7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Adulto ficticio con pliegues medidos por evaluador entrenado.</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registran los pliegues en PLIEGUES y se elige la ecuación aplicable.</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motor estima densidad y la convierte a % de grasa.</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resultado se interpreta considerando la población de la ecuación.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ECUACIÓN</w:t>
            </w:r>
          </w:p>
        </w:tc>
        <w:tc>
          <w:tcPr>
            <w:tcW w:type="dxa" w:w="2600"/>
          </w:tcPr>
          <w:p>
            <w:pPr>
              <w:spacing w:before="20" w:after="20"/>
            </w:pPr>
            <w:r>
              <w:rPr>
                <w:rFonts w:ascii="Calibri" w:hAnsi="Calibri"/>
                <w:b w:val="0"/>
                <w:i w:val="0"/>
                <w:color w:val="1A2B33"/>
                <w:sz w:val="18"/>
              </w:rPr>
              <w:t>Ecuaciones de pliegues (p. ej. Jackson–Pollock)</w:t>
            </w:r>
          </w:p>
        </w:tc>
        <w:tc>
          <w:tcPr>
            <w:tcW w:type="dxa" w:w="1500"/>
          </w:tcPr>
          <w:p>
            <w:pPr>
              <w:spacing w:before="20" w:after="20"/>
            </w:pPr>
            <w:r>
              <w:rPr>
                <w:rFonts w:ascii="Calibri" w:hAnsi="Calibri"/>
                <w:b w:val="0"/>
                <w:i w:val="0"/>
                <w:color w:val="1A2B33"/>
                <w:sz w:val="18"/>
              </w:rPr>
              <w:t>Según derivación</w:t>
            </w:r>
          </w:p>
        </w:tc>
        <w:tc>
          <w:tcPr>
            <w:tcW w:type="dxa" w:w="1760"/>
          </w:tcPr>
          <w:p>
            <w:pPr>
              <w:spacing w:before="20" w:after="20"/>
            </w:pPr>
            <w:r>
              <w:rPr>
                <w:rFonts w:ascii="Calibri" w:hAnsi="Calibri"/>
                <w:b w:val="0"/>
                <w:i w:val="0"/>
                <w:color w:val="1A2B33"/>
                <w:sz w:val="18"/>
              </w:rPr>
              <w:t>Densidad/% grasa</w:t>
            </w:r>
          </w:p>
        </w:tc>
        <w:tc>
          <w:tcPr>
            <w:tcW w:type="dxa" w:w="2000"/>
          </w:tcPr>
          <w:p>
            <w:pPr>
              <w:spacing w:before="20" w:after="20"/>
            </w:pPr>
            <w:r>
              <w:rPr>
                <w:rFonts w:ascii="Calibri" w:hAnsi="Calibri"/>
                <w:b w:val="0"/>
                <w:i w:val="0"/>
                <w:color w:val="1A2B33"/>
                <w:sz w:val="18"/>
              </w:rPr>
              <w:t>No intercambiables entre poblaciones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Autores de ecuaciones de pliegues</w:t>
            </w:r>
          </w:p>
        </w:tc>
        <w:tc>
          <w:tcPr>
            <w:tcW w:type="dxa" w:w="2600"/>
          </w:tcPr>
          <w:p>
            <w:pPr>
              <w:spacing w:before="20" w:after="20"/>
            </w:pPr>
            <w:r>
              <w:rPr>
                <w:rFonts w:ascii="Calibri" w:hAnsi="Calibri"/>
                <w:b w:val="0"/>
                <w:i w:val="0"/>
                <w:color w:val="1A2B33"/>
                <w:sz w:val="17"/>
              </w:rPr>
              <w:t>Publicaciones primarias (densidad JP y otras)</w:t>
            </w:r>
          </w:p>
        </w:tc>
        <w:tc>
          <w:tcPr>
            <w:tcW w:type="dxa" w:w="700"/>
          </w:tcPr>
          <w:p>
            <w:pPr>
              <w:spacing w:before="20" w:after="20"/>
            </w:pPr>
            <w:r>
              <w:rPr>
                <w:rFonts w:ascii="Calibri" w:hAnsi="Calibri"/>
                <w:b w:val="0"/>
                <w:i w:val="0"/>
                <w:color w:val="1A2B33"/>
                <w:sz w:val="17"/>
              </w:rPr>
              <w:t>s/f</w:t>
            </w:r>
          </w:p>
        </w:tc>
        <w:tc>
          <w:tcPr>
            <w:tcW w:type="dxa" w:w="2160"/>
          </w:tcPr>
          <w:p>
            <w:pPr>
              <w:spacing w:before="20" w:after="20"/>
            </w:pPr>
            <w:r>
              <w:rPr>
                <w:rFonts w:ascii="Calibri" w:hAnsi="Calibri"/>
                <w:b w:val="0"/>
                <w:i w:val="0"/>
                <w:color w:val="1A2B33"/>
                <w:sz w:val="17"/>
              </w:rPr>
              <w:t>Estimación de densidad</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Las ecuaciones de pliegues no son intercambiables; el resultado depende de elegir la ecuación adecuada a la población y de la técnica de medición. Exactitud matemática ≠ validación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NMX-41 · Software Acompañante para Plicómetro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NMX-12 · Calculadora de Grasa y Composición Corporal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NMX-16 · Calculadora de Somatotipo y Somatocarta (Heath–Carter)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NMX-28-PACK · Guía del Pack de Antropometría (HUB)</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NMX-36</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NMX-36_INICIO aprobado(2)_COMERCIAL_PRE_P19_REPARADO_PRE_P19.xlsx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NMX-36 · Calculadora Especializada de Plicometría</w:t>
            </w:r>
          </w:p>
          <w:p>
            <w:pPr>
              <w:spacing w:before="80" w:after="0"/>
              <w:jc w:val="center"/>
            </w:pPr>
            <w:r>
              <w:rPr>
                <w:rFonts w:ascii="Calibri" w:hAnsi="Calibri"/>
                <w:b w:val="0"/>
                <w:i w:val="0"/>
                <w:color w:val="EDF2F1"/>
                <w:sz w:val="20"/>
              </w:rPr>
              <w:t>Fase 1 · Motores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NMX-36 · Calculadora Especializada de Plicometría</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