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NMX-41</w:t>
      </w:r>
    </w:p>
    <w:p>
      <w:pPr>
        <w:spacing w:before="0" w:after="160" w:line="252" w:lineRule="auto"/>
      </w:pPr>
      <w:r>
        <w:rPr>
          <w:rFonts w:ascii="Calibri" w:hAnsi="Calibri"/>
          <w:b/>
          <w:i w:val="0"/>
          <w:color w:val="1A2B33"/>
          <w:sz w:val="38"/>
        </w:rPr>
        <w:t>Software Acompañante para Plicómetro</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3 · Evaluación y Registro</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Control de calidad de medición antropométrica</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v1.0</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(Windows)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NMX-41_Software_Acompanante_Plicometro_v1_0(4)_COMERCIAL_PRE_P19_REPARADO_PRE_P19.xlsx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NMX-41 · Software Acompañante para Plicómetro</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3 · Evaluación y Registro</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Control de calidad de medición antropométrica</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Controlar la calidad de la medición con plicómetro: calibración, técnica, error técnico de medición (ETM) y decisión de si un cambio es real.</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Antropometría: Mediciones repetidas de pliegues; Otros: Datos de calibración, Evaluador y equipo</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Error técnico de medición; Cambio real vs error</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v1.0</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(Windows)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NMX-41 es el software acompañante del plicómetro: no calcula composición corporal (eso lo hace NMX-36), sino que gobierna la calidad de la medición. Registra equipo y evaluador, documenta la calibración, describe la técnica según el protocolo ISAK (sin sustituir la formación supervisada) y calcula el error técnico de medición (ETM) para decidir si un cambio entre evaluaciones es real. Es una herramienta de fiabilidad de la Fase 3.</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Controlar la calidad de la medición con plicómetro: calibración, técnica, error técnico de medición (ETM) y decisión de si un cambio es real.</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equipo y evaluador; controlar el instrumento.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el error técnico de medición (ETM).</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Decidir si un cambio observado es real.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Evaluadores antropométricos; acompaña a cualquier plicómetro profesional.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Control del instrumento</w:t>
            </w:r>
          </w:p>
        </w:tc>
        <w:tc>
          <w:tcPr>
            <w:tcW w:type="dxa" w:w="2500"/>
          </w:tcPr>
          <w:p>
            <w:pPr>
              <w:spacing w:before="20" w:after="20"/>
            </w:pPr>
            <w:r>
              <w:rPr>
                <w:rFonts w:ascii="Calibri" w:hAnsi="Calibri"/>
                <w:b w:val="0"/>
                <w:i w:val="0"/>
                <w:color w:val="1A2B33"/>
                <w:sz w:val="18"/>
              </w:rPr>
              <w:t>Documenta calibración</w:t>
            </w:r>
          </w:p>
        </w:tc>
        <w:tc>
          <w:tcPr>
            <w:tcW w:type="dxa" w:w="2000"/>
          </w:tcPr>
          <w:p>
            <w:pPr>
              <w:spacing w:before="20" w:after="20"/>
            </w:pPr>
            <w:r>
              <w:rPr>
                <w:rFonts w:ascii="Calibri" w:hAnsi="Calibri"/>
                <w:b w:val="0"/>
                <w:i w:val="0"/>
                <w:color w:val="1A2B33"/>
                <w:sz w:val="18"/>
              </w:rPr>
              <w:t>Datos de calibración</w:t>
            </w:r>
          </w:p>
        </w:tc>
        <w:tc>
          <w:tcPr>
            <w:tcW w:type="dxa" w:w="2160"/>
          </w:tcPr>
          <w:p>
            <w:pPr>
              <w:spacing w:before="20" w:after="20"/>
            </w:pPr>
            <w:r>
              <w:rPr>
                <w:rFonts w:ascii="Calibri" w:hAnsi="Calibri"/>
                <w:b w:val="0"/>
                <w:i w:val="0"/>
                <w:color w:val="1A2B33"/>
                <w:sz w:val="18"/>
              </w:rPr>
              <w:t>Estado del instrumento</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Error técnico de medición</w:t>
            </w:r>
          </w:p>
        </w:tc>
        <w:tc>
          <w:tcPr>
            <w:tcW w:type="dxa" w:w="2500"/>
            <w:shd w:val="clear" w:color="auto" w:fill="F6F8F8"/>
          </w:tcPr>
          <w:p>
            <w:pPr>
              <w:spacing w:before="20" w:after="20"/>
            </w:pPr>
            <w:r>
              <w:rPr>
                <w:rFonts w:ascii="Calibri" w:hAnsi="Calibri"/>
                <w:b w:val="0"/>
                <w:i w:val="0"/>
                <w:color w:val="1A2B33"/>
                <w:sz w:val="18"/>
              </w:rPr>
              <w:t>Calcula el ETM (raíz de diferencias al cuadrado)</w:t>
            </w:r>
          </w:p>
        </w:tc>
        <w:tc>
          <w:tcPr>
            <w:tcW w:type="dxa" w:w="2000"/>
            <w:shd w:val="clear" w:color="auto" w:fill="F6F8F8"/>
          </w:tcPr>
          <w:p>
            <w:pPr>
              <w:spacing w:before="20" w:after="20"/>
            </w:pPr>
            <w:r>
              <w:rPr>
                <w:rFonts w:ascii="Calibri" w:hAnsi="Calibri"/>
                <w:b w:val="0"/>
                <w:i w:val="0"/>
                <w:color w:val="1A2B33"/>
                <w:sz w:val="18"/>
              </w:rPr>
              <w:t>Mediciones repetidas</w:t>
            </w:r>
          </w:p>
        </w:tc>
        <w:tc>
          <w:tcPr>
            <w:tcW w:type="dxa" w:w="2160"/>
            <w:shd w:val="clear" w:color="auto" w:fill="F6F8F8"/>
          </w:tcPr>
          <w:p>
            <w:pPr>
              <w:spacing w:before="20" w:after="20"/>
            </w:pPr>
            <w:r>
              <w:rPr>
                <w:rFonts w:ascii="Calibri" w:hAnsi="Calibri"/>
                <w:b w:val="0"/>
                <w:i w:val="0"/>
                <w:color w:val="1A2B33"/>
                <w:sz w:val="18"/>
              </w:rPr>
              <w:t>ETM absoluto/relativo</w:t>
            </w:r>
          </w:p>
        </w:tc>
        <w:tc>
          <w:tcPr>
            <w:tcW w:type="dxa" w:w="1200"/>
            <w:shd w:val="clear" w:color="auto" w:fill="F6F8F8"/>
          </w:tcPr>
          <w:p>
            <w:pPr>
              <w:spacing w:before="20" w:after="20"/>
            </w:pPr>
            <w:r>
              <w:rPr>
                <w:rFonts w:ascii="Calibri" w:hAnsi="Calibri"/>
                <w:b w:val="0"/>
                <w:i w:val="0"/>
                <w:color w:val="1A2B33"/>
                <w:sz w:val="18"/>
              </w:rPr>
              <w:t>Avanzado</w:t>
            </w:r>
          </w:p>
        </w:tc>
      </w:tr>
      <w:tr>
        <w:tc>
          <w:tcPr>
            <w:tcW w:type="dxa" w:w="1500"/>
          </w:tcPr>
          <w:p>
            <w:pPr>
              <w:spacing w:before="20" w:after="20"/>
            </w:pPr>
            <w:r>
              <w:rPr>
                <w:rFonts w:ascii="Calibri" w:hAnsi="Calibri"/>
                <w:b w:val="0"/>
                <w:i w:val="0"/>
                <w:color w:val="1A2B33"/>
                <w:sz w:val="18"/>
              </w:rPr>
              <w:t>¿El cambio es real?</w:t>
            </w:r>
          </w:p>
        </w:tc>
        <w:tc>
          <w:tcPr>
            <w:tcW w:type="dxa" w:w="2500"/>
          </w:tcPr>
          <w:p>
            <w:pPr>
              <w:spacing w:before="20" w:after="20"/>
            </w:pPr>
            <w:r>
              <w:rPr>
                <w:rFonts w:ascii="Calibri" w:hAnsi="Calibri"/>
                <w:b w:val="0"/>
                <w:i w:val="0"/>
                <w:color w:val="1A2B33"/>
                <w:sz w:val="18"/>
              </w:rPr>
              <w:t>Compara el cambio frente al ETM</w:t>
            </w:r>
          </w:p>
        </w:tc>
        <w:tc>
          <w:tcPr>
            <w:tcW w:type="dxa" w:w="2000"/>
          </w:tcPr>
          <w:p>
            <w:pPr>
              <w:spacing w:before="20" w:after="20"/>
            </w:pPr>
            <w:r>
              <w:rPr>
                <w:rFonts w:ascii="Calibri" w:hAnsi="Calibri"/>
                <w:b w:val="0"/>
                <w:i w:val="0"/>
                <w:color w:val="1A2B33"/>
                <w:sz w:val="18"/>
              </w:rPr>
              <w:t>Dos evaluaciones</w:t>
            </w:r>
          </w:p>
        </w:tc>
        <w:tc>
          <w:tcPr>
            <w:tcW w:type="dxa" w:w="2160"/>
          </w:tcPr>
          <w:p>
            <w:pPr>
              <w:spacing w:before="20" w:after="20"/>
            </w:pPr>
            <w:r>
              <w:rPr>
                <w:rFonts w:ascii="Calibri" w:hAnsi="Calibri"/>
                <w:b w:val="0"/>
                <w:i w:val="0"/>
                <w:color w:val="1A2B33"/>
                <w:sz w:val="18"/>
              </w:rPr>
              <w:t>Decisión de cambio real</w:t>
            </w:r>
          </w:p>
        </w:tc>
        <w:tc>
          <w:tcPr>
            <w:tcW w:type="dxa" w:w="1200"/>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Mediciones repetidas de pliegues</w:t>
      </w:r>
    </w:p>
    <w:p>
      <w:pPr>
        <w:spacing w:before="60" w:after="20" w:line="276" w:lineRule="auto"/>
      </w:pPr>
      <w:r>
        <w:rPr>
          <w:rFonts w:ascii="Calibri" w:hAnsi="Calibri"/>
          <w:b/>
          <w:i w:val="0"/>
          <w:color w:val="0A3E3A"/>
          <w:sz w:val="20"/>
        </w:rPr>
        <w:t>Otros</w:t>
      </w:r>
    </w:p>
    <w:p>
      <w:pPr>
        <w:spacing w:before="40" w:after="60" w:line="276" w:lineRule="auto"/>
      </w:pPr>
      <w:r>
        <w:rPr>
          <w:rFonts w:ascii="Calibri" w:hAnsi="Calibri"/>
          <w:b w:val="0"/>
          <w:i w:val="0"/>
          <w:color w:val="1A2B33"/>
          <w:sz w:val="19"/>
        </w:rPr>
        <w:t>Datos de calibración, Evaluador y equipo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Error técnico de medición</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mm / %</w:t>
            </w:r>
          </w:p>
        </w:tc>
        <w:tc>
          <w:tcPr>
            <w:tcW w:type="dxa" w:w="3100"/>
          </w:tcPr>
          <w:p>
            <w:pPr>
              <w:spacing w:before="20" w:after="20"/>
            </w:pPr>
            <w:r>
              <w:rPr>
                <w:rFonts w:ascii="Calibri" w:hAnsi="Calibri"/>
                <w:b w:val="0"/>
                <w:i w:val="0"/>
                <w:color w:val="1A2B33"/>
                <w:sz w:val="18"/>
              </w:rPr>
              <w:t>Depende de mediciones repetidas</w:t>
            </w:r>
          </w:p>
        </w:tc>
      </w:tr>
      <w:tr>
        <w:tc>
          <w:tcPr>
            <w:tcW w:type="dxa" w:w="3000"/>
            <w:shd w:val="clear" w:color="auto" w:fill="F6F8F8"/>
          </w:tcPr>
          <w:p>
            <w:pPr>
              <w:spacing w:before="20" w:after="20"/>
            </w:pPr>
            <w:r>
              <w:rPr>
                <w:rFonts w:ascii="Calibri" w:hAnsi="Calibri"/>
                <w:b w:val="0"/>
                <w:i w:val="0"/>
                <w:color w:val="1A2B33"/>
                <w:sz w:val="18"/>
              </w:rPr>
              <w:t>Cambio real vs error</w:t>
            </w:r>
          </w:p>
        </w:tc>
        <w:tc>
          <w:tcPr>
            <w:tcW w:type="dxa" w:w="1700"/>
            <w:shd w:val="clear" w:color="auto" w:fill="F6F8F8"/>
          </w:tcPr>
          <w:p>
            <w:pPr>
              <w:spacing w:before="20" w:after="20"/>
            </w:pPr>
            <w:r>
              <w:rPr>
                <w:rFonts w:ascii="Calibri" w:hAnsi="Calibri"/>
                <w:b w:val="0"/>
                <w:i w:val="0"/>
                <w:color w:val="1A2B33"/>
                <w:sz w:val="18"/>
              </w:rPr>
              <w:t>INTERPRETACIÓN</w:t>
            </w:r>
          </w:p>
        </w:tc>
        <w:tc>
          <w:tcPr>
            <w:tcW w:type="dxa" w:w="1560"/>
            <w:shd w:val="clear" w:color="auto" w:fill="F6F8F8"/>
          </w:tcPr>
          <w:p>
            <w:pPr>
              <w:spacing w:before="20" w:after="20"/>
            </w:pPr>
            <w:r>
              <w:rPr>
                <w:rFonts w:ascii="Calibri" w:hAnsi="Calibri"/>
                <w:b w:val="0"/>
                <w:i w:val="0"/>
                <w:color w:val="1A2B33"/>
                <w:sz w:val="18"/>
              </w:rPr>
              <w:t>sí/no</w:t>
            </w:r>
          </w:p>
        </w:tc>
        <w:tc>
          <w:tcPr>
            <w:tcW w:type="dxa" w:w="3100"/>
            <w:shd w:val="clear" w:color="auto" w:fill="F6F8F8"/>
          </w:tcPr>
          <w:p>
            <w:pPr>
              <w:spacing w:before="20" w:after="20"/>
            </w:pPr>
            <w:r>
              <w:rPr>
                <w:rFonts w:ascii="Calibri" w:hAnsi="Calibri"/>
                <w:b w:val="0"/>
                <w:i w:val="0"/>
                <w:color w:val="1A2B33"/>
                <w:sz w:val="18"/>
              </w:rPr>
              <w:t>Depende del ETM y del cambio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CALIBRACION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TECNICA</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FIABILIDAD(ETM)</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SEGUIMIENTO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CALIBRACION</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FIABILIDAD</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10 hojas (7 visibles y 3 ocultas o auxiliares). Incorpora aproximadamente 233 fórmulas, 1 gráficos, 0 tablas estructuradas y 8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Evaluador que mide dos veces los mismos pliegues.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Registra ambas series y la calibración del plicómetro.</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calcula el ETM y compara el cambio observado.</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Concluye si el cambio supera el error de medición.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Error técnico de medición (ETM)</w:t>
            </w:r>
          </w:p>
        </w:tc>
        <w:tc>
          <w:tcPr>
            <w:tcW w:type="dxa" w:w="1500"/>
          </w:tcPr>
          <w:p>
            <w:pPr>
              <w:spacing w:before="20" w:after="20"/>
            </w:pPr>
            <w:r>
              <w:rPr>
                <w:rFonts w:ascii="Calibri" w:hAnsi="Calibri"/>
                <w:b w:val="0"/>
                <w:i w:val="0"/>
                <w:color w:val="1A2B33"/>
                <w:sz w:val="18"/>
              </w:rPr>
              <w:t>Evaluadores</w:t>
            </w:r>
          </w:p>
        </w:tc>
        <w:tc>
          <w:tcPr>
            <w:tcW w:type="dxa" w:w="1760"/>
          </w:tcPr>
          <w:p>
            <w:pPr>
              <w:spacing w:before="20" w:after="20"/>
            </w:pPr>
            <w:r>
              <w:rPr>
                <w:rFonts w:ascii="Calibri" w:hAnsi="Calibri"/>
                <w:b w:val="0"/>
                <w:i w:val="0"/>
                <w:color w:val="1A2B33"/>
                <w:sz w:val="18"/>
              </w:rPr>
              <w:t>Fiabilidad de medición</w:t>
            </w:r>
          </w:p>
        </w:tc>
        <w:tc>
          <w:tcPr>
            <w:tcW w:type="dxa" w:w="2000"/>
          </w:tcPr>
          <w:p>
            <w:pPr>
              <w:spacing w:before="20" w:after="20"/>
            </w:pPr>
            <w:r>
              <w:rPr>
                <w:rFonts w:ascii="Calibri" w:hAnsi="Calibri"/>
                <w:b w:val="0"/>
                <w:i w:val="0"/>
                <w:color w:val="1A2B33"/>
                <w:sz w:val="18"/>
              </w:rPr>
              <w:t>No sustituye la formación práctica supervisada</w:t>
            </w:r>
          </w:p>
        </w:tc>
      </w:tr>
      <w:tr>
        <w:tc>
          <w:tcPr>
            <w:tcW w:type="dxa" w:w="1500"/>
            <w:shd w:val="clear" w:color="auto" w:fill="F6F8F8"/>
          </w:tcPr>
          <w:p>
            <w:pPr>
              <w:spacing w:before="20" w:after="20"/>
            </w:pPr>
            <w:r>
              <w:rPr>
                <w:rFonts w:ascii="Calibri" w:hAnsi="Calibri"/>
                <w:b w:val="0"/>
                <w:i w:val="0"/>
                <w:color w:val="1A2B33"/>
                <w:sz w:val="18"/>
              </w:rPr>
              <w:t>CRITERIO</w:t>
            </w:r>
          </w:p>
        </w:tc>
        <w:tc>
          <w:tcPr>
            <w:tcW w:type="dxa" w:w="2600"/>
            <w:shd w:val="clear" w:color="auto" w:fill="F6F8F8"/>
          </w:tcPr>
          <w:p>
            <w:pPr>
              <w:spacing w:before="20" w:after="20"/>
            </w:pPr>
            <w:r>
              <w:rPr>
                <w:rFonts w:ascii="Calibri" w:hAnsi="Calibri"/>
                <w:b w:val="0"/>
                <w:i w:val="0"/>
                <w:color w:val="1A2B33"/>
                <w:sz w:val="18"/>
              </w:rPr>
              <w:t>Protocolo de medición ISAK</w:t>
            </w:r>
          </w:p>
        </w:tc>
        <w:tc>
          <w:tcPr>
            <w:tcW w:type="dxa" w:w="1500"/>
            <w:shd w:val="clear" w:color="auto" w:fill="F6F8F8"/>
          </w:tcPr>
          <w:p>
            <w:pPr>
              <w:spacing w:before="20" w:after="20"/>
            </w:pPr>
            <w:r>
              <w:rPr>
                <w:rFonts w:ascii="Calibri" w:hAnsi="Calibri"/>
                <w:b w:val="0"/>
                <w:i w:val="0"/>
                <w:color w:val="1A2B33"/>
                <w:sz w:val="18"/>
              </w:rPr>
              <w:t>Antropometría</w:t>
            </w:r>
          </w:p>
        </w:tc>
        <w:tc>
          <w:tcPr>
            <w:tcW w:type="dxa" w:w="1760"/>
            <w:shd w:val="clear" w:color="auto" w:fill="F6F8F8"/>
          </w:tcPr>
          <w:p>
            <w:pPr>
              <w:spacing w:before="20" w:after="20"/>
            </w:pPr>
            <w:r>
              <w:rPr>
                <w:rFonts w:ascii="Calibri" w:hAnsi="Calibri"/>
                <w:b w:val="0"/>
                <w:i w:val="0"/>
                <w:color w:val="1A2B33"/>
                <w:sz w:val="18"/>
              </w:rPr>
              <w:t>Técnica de pliegues</w:t>
            </w:r>
          </w:p>
        </w:tc>
        <w:tc>
          <w:tcPr>
            <w:tcW w:type="dxa" w:w="2000"/>
            <w:shd w:val="clear" w:color="auto" w:fill="F6F8F8"/>
          </w:tcPr>
          <w:p>
            <w:pPr>
              <w:spacing w:before="20" w:after="20"/>
            </w:pPr>
            <w:r>
              <w:rPr>
                <w:rFonts w:ascii="Calibri" w:hAnsi="Calibri"/>
                <w:b w:val="0"/>
                <w:i w:val="0"/>
                <w:color w:val="1A2B33"/>
                <w:sz w:val="18"/>
              </w:rPr>
              <w:t>Requiere acreditación del evaluador</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ISAK</w:t>
            </w:r>
          </w:p>
        </w:tc>
        <w:tc>
          <w:tcPr>
            <w:tcW w:type="dxa" w:w="2600"/>
          </w:tcPr>
          <w:p>
            <w:pPr>
              <w:spacing w:before="20" w:after="20"/>
            </w:pPr>
            <w:r>
              <w:rPr>
                <w:rFonts w:ascii="Calibri" w:hAnsi="Calibri"/>
                <w:b w:val="0"/>
                <w:i w:val="0"/>
                <w:color w:val="1A2B33"/>
                <w:sz w:val="17"/>
              </w:rPr>
              <w:t>Protocolo de sitios anatómicos y técnica</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Técnica de medición</w:t>
            </w:r>
          </w:p>
        </w:tc>
        <w:tc>
          <w:tcPr>
            <w:tcW w:type="dxa" w:w="1700"/>
          </w:tcPr>
          <w:p>
            <w:pPr>
              <w:spacing w:before="20" w:after="20"/>
            </w:pPr>
            <w:r>
              <w:rPr>
                <w:rFonts w:ascii="Calibri" w:hAnsi="Calibri"/>
                <w:b w:val="0"/>
                <w:i w:val="0"/>
                <w:color w:val="1A2B33"/>
                <w:sz w:val="17"/>
              </w:rPr>
              <w:t>MANUAL</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Describe el procedimiento pero no reemplaza la formación práctica supervisada, única vía para alcanzar los criterios de error. El ETM depende de mediciones repetidas correctas.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NMX-36 · Calculadora Especializada de Plicometría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NMX-16 · Calculadora de Somatotipo y Somatocarta (Heath–Carter)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NMX-12 · Calculadora de Grasa y Composición Corporal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NMX-28-PACK · Guía del Pack de Antropometría (HUB)</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NMX-41</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NMX-41_Software_Acompanante_Plicometro_v1_0(4)_COMERCIAL_PRE_P19_REPARADO_PRE_P19.xlsx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v1.0</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NMX-41 · Software Acompañante para Plicómetro</w:t>
            </w:r>
          </w:p>
          <w:p>
            <w:pPr>
              <w:spacing w:before="80" w:after="0"/>
              <w:jc w:val="center"/>
            </w:pPr>
            <w:r>
              <w:rPr>
                <w:rFonts w:ascii="Calibri" w:hAnsi="Calibri"/>
                <w:b w:val="0"/>
                <w:i w:val="0"/>
                <w:color w:val="EDF2F1"/>
                <w:sz w:val="20"/>
              </w:rPr>
              <w:t>Fase 3 · Evaluación y Registro · v1.0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NMX-41 · Software Acompañante para Plicómetro</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