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NMX-42</w:t>
      </w:r>
    </w:p>
    <w:p>
      <w:pPr>
        <w:spacing w:before="0" w:after="160" w:line="252" w:lineRule="auto"/>
      </w:pPr>
      <w:r>
        <w:rPr>
          <w:rFonts w:ascii="Calibri" w:hAnsi="Calibri"/>
          <w:b/>
          <w:i w:val="0"/>
          <w:color w:val="1A2B33"/>
          <w:sz w:val="38"/>
        </w:rPr>
        <w:t>Explorador Renal de Alimentos y Equivalentes</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5 · Clínica</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Explorador dietético renal</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(declarado). Incluye hoja VALIDACION_RENAL oculta.</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NMX-42_KDOQI_KDIGO(2)_COMERCIAL_PRE_P19_REPARADO_PRE_P19.xlsx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NMX-42 · Explorador Renal de Alimentos y Equivalentes</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5 · Clínica</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Explorador dietético renal</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Docente; Nutricionista (apoyo clínico profesional); Estudiante de Nutrición y Dietética (avanzado)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Explorar y filtrar alimentos por criterios renales y proponer sustituciones/intercambios en equivalentes, dentro de un marco de distribución autorizada y revisión clínica.</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Clínica: Límites/metas renales del paciente; Selecciones / listas desplegables: Filtros y criterios renales, Alimento a sustituir</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Alimentos filtrados; Sustituciones/intercambios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(declarado). Incluye hoja VALIDACION_RENAL oculta.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NMX-42 es un explorador renal de alimentos y equivalentes: sobre la base INTA 2018 clasificada permite buscar y filtrar alimentos según criterios renales y proponer sustituciones e intercambios. La distribución está autorizada por el titular; el libro conserva su estado 'sujeto a revisión clínica'. Comparte enfoque renal con NMX-22/29. Pertenece a la Fase 5.</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Explorar y filtrar alimentos por criterios renales y proponer sustituciones/intercambios en equivalentes, dentro de un marco de distribución autorizada y revisión clínica.</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Definir paciente y límites renales.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Buscar y filtrar alimentos en la base clasificada.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Proponer sustituciones e intercambios renales.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clínico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 (avanzado)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Contexto renal; base INTA 2018 clasificada; distribución autorizada, sujeto a revisión clínica.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Buscar y filtrar</w:t>
            </w:r>
          </w:p>
        </w:tc>
        <w:tc>
          <w:tcPr>
            <w:tcW w:type="dxa" w:w="2500"/>
          </w:tcPr>
          <w:p>
            <w:pPr>
              <w:spacing w:before="20" w:after="20"/>
            </w:pPr>
            <w:r>
              <w:rPr>
                <w:rFonts w:ascii="Calibri" w:hAnsi="Calibri"/>
                <w:b w:val="0"/>
                <w:i w:val="0"/>
                <w:color w:val="1A2B33"/>
                <w:sz w:val="18"/>
              </w:rPr>
              <w:t>Filtra alimentos por criterio renal</w:t>
            </w:r>
          </w:p>
        </w:tc>
        <w:tc>
          <w:tcPr>
            <w:tcW w:type="dxa" w:w="2000"/>
          </w:tcPr>
          <w:p>
            <w:pPr>
              <w:spacing w:before="20" w:after="20"/>
            </w:pPr>
            <w:r>
              <w:rPr>
                <w:rFonts w:ascii="Calibri" w:hAnsi="Calibri"/>
                <w:b w:val="0"/>
                <w:i w:val="0"/>
                <w:color w:val="1A2B33"/>
                <w:sz w:val="18"/>
              </w:rPr>
              <w:t>Filtros renales</w:t>
            </w:r>
          </w:p>
        </w:tc>
        <w:tc>
          <w:tcPr>
            <w:tcW w:type="dxa" w:w="2160"/>
          </w:tcPr>
          <w:p>
            <w:pPr>
              <w:spacing w:before="20" w:after="20"/>
            </w:pPr>
            <w:r>
              <w:rPr>
                <w:rFonts w:ascii="Calibri" w:hAnsi="Calibri"/>
                <w:b w:val="0"/>
                <w:i w:val="0"/>
                <w:color w:val="1A2B33"/>
                <w:sz w:val="18"/>
              </w:rPr>
              <w:t>Lista filtrada</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Sustitución</w:t>
            </w:r>
          </w:p>
        </w:tc>
        <w:tc>
          <w:tcPr>
            <w:tcW w:type="dxa" w:w="2500"/>
            <w:shd w:val="clear" w:color="auto" w:fill="F6F8F8"/>
          </w:tcPr>
          <w:p>
            <w:pPr>
              <w:spacing w:before="20" w:after="20"/>
            </w:pPr>
            <w:r>
              <w:rPr>
                <w:rFonts w:ascii="Calibri" w:hAnsi="Calibri"/>
                <w:b w:val="0"/>
                <w:i w:val="0"/>
                <w:color w:val="1A2B33"/>
                <w:sz w:val="18"/>
              </w:rPr>
              <w:t>Propone alimentos alternativos</w:t>
            </w:r>
          </w:p>
        </w:tc>
        <w:tc>
          <w:tcPr>
            <w:tcW w:type="dxa" w:w="2000"/>
            <w:shd w:val="clear" w:color="auto" w:fill="F6F8F8"/>
          </w:tcPr>
          <w:p>
            <w:pPr>
              <w:spacing w:before="20" w:after="20"/>
            </w:pPr>
            <w:r>
              <w:rPr>
                <w:rFonts w:ascii="Calibri" w:hAnsi="Calibri"/>
                <w:b w:val="0"/>
                <w:i w:val="0"/>
                <w:color w:val="1A2B33"/>
                <w:sz w:val="18"/>
              </w:rPr>
              <w:t>Alimento + criterio</w:t>
            </w:r>
          </w:p>
        </w:tc>
        <w:tc>
          <w:tcPr>
            <w:tcW w:type="dxa" w:w="2160"/>
            <w:shd w:val="clear" w:color="auto" w:fill="F6F8F8"/>
          </w:tcPr>
          <w:p>
            <w:pPr>
              <w:spacing w:before="20" w:after="20"/>
            </w:pPr>
            <w:r>
              <w:rPr>
                <w:rFonts w:ascii="Calibri" w:hAnsi="Calibri"/>
                <w:b w:val="0"/>
                <w:i w:val="0"/>
                <w:color w:val="1A2B33"/>
                <w:sz w:val="18"/>
              </w:rPr>
              <w:t>Sustituciones</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Intercambios en equivalentes</w:t>
            </w:r>
          </w:p>
        </w:tc>
        <w:tc>
          <w:tcPr>
            <w:tcW w:type="dxa" w:w="2500"/>
          </w:tcPr>
          <w:p>
            <w:pPr>
              <w:spacing w:before="20" w:after="20"/>
            </w:pPr>
            <w:r>
              <w:rPr>
                <w:rFonts w:ascii="Calibri" w:hAnsi="Calibri"/>
                <w:b w:val="0"/>
                <w:i w:val="0"/>
                <w:color w:val="1A2B33"/>
                <w:sz w:val="18"/>
              </w:rPr>
              <w:t>Ofrece intercambios renales</w:t>
            </w:r>
          </w:p>
        </w:tc>
        <w:tc>
          <w:tcPr>
            <w:tcW w:type="dxa" w:w="2000"/>
          </w:tcPr>
          <w:p>
            <w:pPr>
              <w:spacing w:before="20" w:after="20"/>
            </w:pPr>
            <w:r>
              <w:rPr>
                <w:rFonts w:ascii="Calibri" w:hAnsi="Calibri"/>
                <w:b w:val="0"/>
                <w:i w:val="0"/>
                <w:color w:val="1A2B33"/>
                <w:sz w:val="18"/>
              </w:rPr>
              <w:t>Equivalentes</w:t>
            </w:r>
          </w:p>
        </w:tc>
        <w:tc>
          <w:tcPr>
            <w:tcW w:type="dxa" w:w="2160"/>
          </w:tcPr>
          <w:p>
            <w:pPr>
              <w:spacing w:before="20" w:after="20"/>
            </w:pPr>
            <w:r>
              <w:rPr>
                <w:rFonts w:ascii="Calibri" w:hAnsi="Calibri"/>
                <w:b w:val="0"/>
                <w:i w:val="0"/>
                <w:color w:val="1A2B33"/>
                <w:sz w:val="18"/>
              </w:rPr>
              <w:t>Intercambios</w:t>
            </w:r>
          </w:p>
        </w:tc>
        <w:tc>
          <w:tcPr>
            <w:tcW w:type="dxa" w:w="1200"/>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Clínica</w:t>
      </w:r>
    </w:p>
    <w:p>
      <w:pPr>
        <w:spacing w:before="40" w:after="60" w:line="276" w:lineRule="auto"/>
      </w:pPr>
      <w:r>
        <w:rPr>
          <w:rFonts w:ascii="Calibri" w:hAnsi="Calibri"/>
          <w:b w:val="0"/>
          <w:i w:val="0"/>
          <w:color w:val="1A2B33"/>
          <w:sz w:val="19"/>
        </w:rPr>
        <w:t>Límites/metas renales del paciente</w:t>
      </w:r>
    </w:p>
    <w:p>
      <w:pPr>
        <w:spacing w:before="60" w:after="20" w:line="276" w:lineRule="auto"/>
      </w:pPr>
      <w:r>
        <w:rPr>
          <w:rFonts w:ascii="Calibri" w:hAnsi="Calibri"/>
          <w:b/>
          <w:i w:val="0"/>
          <w:color w:val="0A3E3A"/>
          <w:sz w:val="20"/>
        </w:rPr>
        <w:t>Selecciones / listas desplegables</w:t>
      </w:r>
    </w:p>
    <w:p>
      <w:pPr>
        <w:spacing w:before="40" w:after="60" w:line="276" w:lineRule="auto"/>
      </w:pPr>
      <w:r>
        <w:rPr>
          <w:rFonts w:ascii="Calibri" w:hAnsi="Calibri"/>
          <w:b w:val="0"/>
          <w:i w:val="0"/>
          <w:color w:val="1A2B33"/>
          <w:sz w:val="19"/>
        </w:rPr>
        <w:t>Filtros y criterios renales, Alimento a sustituir</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Alimentos filtrados</w:t>
            </w:r>
          </w:p>
        </w:tc>
        <w:tc>
          <w:tcPr>
            <w:tcW w:type="dxa" w:w="1700"/>
          </w:tcPr>
          <w:p>
            <w:pPr>
              <w:spacing w:before="20" w:after="20"/>
            </w:pPr>
            <w:r>
              <w:rPr>
                <w:rFonts w:ascii="Calibri" w:hAnsi="Calibri"/>
                <w:b w:val="0"/>
                <w:i w:val="0"/>
                <w:color w:val="1A2B33"/>
                <w:sz w:val="18"/>
              </w:rPr>
              <w:t>COMPARACIÓN</w:t>
            </w:r>
          </w:p>
        </w:tc>
        <w:tc>
          <w:tcPr>
            <w:tcW w:type="dxa" w:w="1560"/>
          </w:tcPr>
          <w:p>
            <w:pPr>
              <w:spacing w:before="20" w:after="20"/>
            </w:pPr>
            <w:r>
              <w:rPr>
                <w:rFonts w:ascii="Calibri" w:hAnsi="Calibri"/>
                <w:b w:val="0"/>
                <w:i w:val="0"/>
                <w:color w:val="1A2B33"/>
                <w:sz w:val="18"/>
              </w:rPr>
              <w:t>lista</w:t>
            </w:r>
          </w:p>
        </w:tc>
        <w:tc>
          <w:tcPr>
            <w:tcW w:type="dxa" w:w="3100"/>
          </w:tcPr>
          <w:p>
            <w:pPr>
              <w:spacing w:before="20" w:after="20"/>
            </w:pPr>
            <w:r>
              <w:rPr>
                <w:rFonts w:ascii="Calibri" w:hAnsi="Calibri"/>
                <w:b w:val="0"/>
                <w:i w:val="0"/>
                <w:color w:val="1A2B33"/>
                <w:sz w:val="18"/>
              </w:rPr>
              <w:t>Depende del filtro</w:t>
            </w:r>
          </w:p>
        </w:tc>
      </w:tr>
      <w:tr>
        <w:tc>
          <w:tcPr>
            <w:tcW w:type="dxa" w:w="3000"/>
            <w:shd w:val="clear" w:color="auto" w:fill="F6F8F8"/>
          </w:tcPr>
          <w:p>
            <w:pPr>
              <w:spacing w:before="20" w:after="20"/>
            </w:pPr>
            <w:r>
              <w:rPr>
                <w:rFonts w:ascii="Calibri" w:hAnsi="Calibri"/>
                <w:b w:val="0"/>
                <w:i w:val="0"/>
                <w:color w:val="1A2B33"/>
                <w:sz w:val="18"/>
              </w:rPr>
              <w:t>Sustituciones/intercambios</w:t>
            </w:r>
          </w:p>
        </w:tc>
        <w:tc>
          <w:tcPr>
            <w:tcW w:type="dxa" w:w="1700"/>
            <w:shd w:val="clear" w:color="auto" w:fill="F6F8F8"/>
          </w:tcPr>
          <w:p>
            <w:pPr>
              <w:spacing w:before="20" w:after="20"/>
            </w:pPr>
            <w:r>
              <w:rPr>
                <w:rFonts w:ascii="Calibri" w:hAnsi="Calibri"/>
                <w:b w:val="0"/>
                <w:i w:val="0"/>
                <w:color w:val="1A2B33"/>
                <w:sz w:val="18"/>
              </w:rPr>
              <w:t>PLANIFICACIÓN</w:t>
            </w:r>
          </w:p>
        </w:tc>
        <w:tc>
          <w:tcPr>
            <w:tcW w:type="dxa" w:w="1560"/>
            <w:shd w:val="clear" w:color="auto" w:fill="F6F8F8"/>
          </w:tcPr>
          <w:p>
            <w:pPr>
              <w:spacing w:before="20" w:after="20"/>
            </w:pPr>
            <w:r>
              <w:rPr>
                <w:rFonts w:ascii="Calibri" w:hAnsi="Calibri"/>
                <w:b w:val="0"/>
                <w:i w:val="0"/>
                <w:color w:val="1A2B33"/>
                <w:sz w:val="18"/>
              </w:rPr>
              <w:t>alternativas</w:t>
            </w:r>
          </w:p>
        </w:tc>
        <w:tc>
          <w:tcPr>
            <w:tcW w:type="dxa" w:w="3100"/>
            <w:shd w:val="clear" w:color="auto" w:fill="F6F8F8"/>
          </w:tcPr>
          <w:p>
            <w:pPr>
              <w:spacing w:before="20" w:after="20"/>
            </w:pPr>
            <w:r>
              <w:rPr>
                <w:rFonts w:ascii="Calibri" w:hAnsi="Calibri"/>
                <w:b w:val="0"/>
                <w:i w:val="0"/>
                <w:color w:val="1A2B33"/>
                <w:sz w:val="18"/>
              </w:rPr>
              <w:t>Depende del criterio renal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LICENCIA</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EXPLORADOR</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SUSTITUCION</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EQUIVALENTES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EXPLORADOR</w:t>
            </w:r>
          </w:p>
        </w:tc>
        <w:tc>
          <w:tcPr>
            <w:tcW w:type="dxa" w:w="5760"/>
            <w:shd w:val="clear" w:color="auto" w:fill="F6F8F8"/>
          </w:tcPr>
          <w:p>
            <w:pPr>
              <w:spacing w:before="20" w:after="20"/>
            </w:pPr>
            <w:r>
              <w:rPr>
                <w:rFonts w:ascii="Calibri" w:hAnsi="Calibri"/>
                <w:b w:val="0"/>
                <w:i w:val="0"/>
                <w:color w:val="1A2B33"/>
                <w:sz w:val="18"/>
              </w:rPr>
              <w:t>RESULTADOS</w:t>
            </w:r>
          </w:p>
        </w:tc>
      </w:tr>
      <w:tr>
        <w:tc>
          <w:tcPr>
            <w:tcW w:type="dxa" w:w="3600"/>
          </w:tcPr>
          <w:p>
            <w:pPr>
              <w:spacing w:before="20" w:after="20"/>
            </w:pPr>
            <w:r>
              <w:rPr>
                <w:rFonts w:ascii="Calibri" w:hAnsi="Calibri"/>
                <w:b w:val="0"/>
                <w:i w:val="0"/>
                <w:color w:val="1A2B33"/>
                <w:sz w:val="18"/>
              </w:rPr>
              <w:t>SUSTITUCION</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14 hojas (13 visibles y 1 ocultas o auxiliares). Incorpora aproximadamente 367 fórmulas, 1 gráficos, 0 tablas estructuradas y 9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Paciente ficticio con límites renales definidos.</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filtran alimentos según los criterios renales.</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explorador propone sustituciones e intercambios.</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profesional valida las alternativas antes de usarlas.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Clasificación renal de alimentos</w:t>
            </w:r>
          </w:p>
        </w:tc>
        <w:tc>
          <w:tcPr>
            <w:tcW w:type="dxa" w:w="1500"/>
          </w:tcPr>
          <w:p>
            <w:pPr>
              <w:spacing w:before="20" w:after="20"/>
            </w:pPr>
            <w:r>
              <w:rPr>
                <w:rFonts w:ascii="Calibri" w:hAnsi="Calibri"/>
                <w:b w:val="0"/>
                <w:i w:val="0"/>
                <w:color w:val="1A2B33"/>
                <w:sz w:val="18"/>
              </w:rPr>
              <w:t>Renal</w:t>
            </w:r>
          </w:p>
        </w:tc>
        <w:tc>
          <w:tcPr>
            <w:tcW w:type="dxa" w:w="1760"/>
          </w:tcPr>
          <w:p>
            <w:pPr>
              <w:spacing w:before="20" w:after="20"/>
            </w:pPr>
            <w:r>
              <w:rPr>
                <w:rFonts w:ascii="Calibri" w:hAnsi="Calibri"/>
                <w:b w:val="0"/>
                <w:i w:val="0"/>
                <w:color w:val="1A2B33"/>
                <w:sz w:val="18"/>
              </w:rPr>
              <w:t>Filtro y sustitución</w:t>
            </w:r>
          </w:p>
        </w:tc>
        <w:tc>
          <w:tcPr>
            <w:tcW w:type="dxa" w:w="2000"/>
          </w:tcPr>
          <w:p>
            <w:pPr>
              <w:spacing w:before="20" w:after="20"/>
            </w:pPr>
            <w:r>
              <w:rPr>
                <w:rFonts w:ascii="Calibri" w:hAnsi="Calibri"/>
                <w:b w:val="0"/>
                <w:i w:val="0"/>
                <w:color w:val="1A2B33"/>
                <w:sz w:val="18"/>
              </w:rPr>
              <w:t>Requiere revisión clínica</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Reconstrucción del grupo 2.10 (verduras) marcada</w:t>
            </w:r>
          </w:p>
        </w:tc>
        <w:tc>
          <w:tcPr>
            <w:tcW w:type="dxa" w:w="1500"/>
            <w:shd w:val="clear" w:color="auto" w:fill="F6F8F8"/>
          </w:tcPr>
          <w:p>
            <w:pPr>
              <w:spacing w:before="20" w:after="20"/>
            </w:pPr>
            <w:r>
              <w:rPr>
                <w:rFonts w:ascii="Calibri" w:hAnsi="Calibri"/>
                <w:b w:val="0"/>
                <w:i w:val="0"/>
                <w:color w:val="1A2B33"/>
                <w:sz w:val="18"/>
              </w:rPr>
              <w:t>Chile</w:t>
            </w:r>
          </w:p>
        </w:tc>
        <w:tc>
          <w:tcPr>
            <w:tcW w:type="dxa" w:w="1760"/>
            <w:shd w:val="clear" w:color="auto" w:fill="F6F8F8"/>
          </w:tcPr>
          <w:p>
            <w:pPr>
              <w:spacing w:before="20" w:after="20"/>
            </w:pPr>
            <w:r>
              <w:rPr>
                <w:rFonts w:ascii="Calibri" w:hAnsi="Calibri"/>
                <w:b w:val="0"/>
                <w:i w:val="0"/>
                <w:color w:val="1A2B33"/>
                <w:sz w:val="18"/>
              </w:rPr>
              <w:t>Cobertura de base</w:t>
            </w:r>
          </w:p>
        </w:tc>
        <w:tc>
          <w:tcPr>
            <w:tcW w:type="dxa" w:w="2000"/>
            <w:shd w:val="clear" w:color="auto" w:fill="F6F8F8"/>
          </w:tcPr>
          <w:p>
            <w:pPr>
              <w:spacing w:before="20" w:after="20"/>
            </w:pPr>
            <w:r>
              <w:rPr>
                <w:rFonts w:ascii="Calibri" w:hAnsi="Calibri"/>
                <w:b w:val="0"/>
                <w:i w:val="0"/>
                <w:color w:val="1A2B33"/>
                <w:sz w:val="18"/>
              </w:rPr>
              <w:t>Registros corregidos identificados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Universidad de Chile</w:t>
            </w:r>
          </w:p>
        </w:tc>
        <w:tc>
          <w:tcPr>
            <w:tcW w:type="dxa" w:w="2600"/>
          </w:tcPr>
          <w:p>
            <w:pPr>
              <w:spacing w:before="20" w:after="20"/>
            </w:pPr>
            <w:r>
              <w:rPr>
                <w:rFonts w:ascii="Calibri" w:hAnsi="Calibri"/>
                <w:b w:val="0"/>
                <w:i w:val="0"/>
                <w:color w:val="1A2B33"/>
                <w:sz w:val="17"/>
              </w:rPr>
              <w:t>Tabla de Composición de Alimentos</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Base clasificada</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Distribución autorizada por el titular; sujeto a revisión clínica. Herramienta de apoyo; la interpretación clínica es profesional.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clínico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utilizar como único criterio diagnóstico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NMX-22 · Registro Nutricional para Enfermedad Renal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NMX-29 · Recordatorio de 24 Horas Renal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NMX-21 · Distribución Alimentaria (INTA 2018)</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NMX-42</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NMX-42_KDOQI_KDIGO(2)_COMERCIAL_PRE_P19_REPARADO_PRE_P19.xlsx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NMX-42 · Explorador Renal de Alimentos y Equivalentes</w:t>
            </w:r>
          </w:p>
          <w:p>
            <w:pPr>
              <w:spacing w:before="80" w:after="0"/>
              <w:jc w:val="center"/>
            </w:pPr>
            <w:r>
              <w:rPr>
                <w:rFonts w:ascii="Calibri" w:hAnsi="Calibri"/>
                <w:b w:val="0"/>
                <w:i w:val="0"/>
                <w:color w:val="EDF2F1"/>
                <w:sz w:val="20"/>
              </w:rPr>
              <w:t>Fase 5 · Clínica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NMX-42 · Explorador Renal de Alimentos y Equivalentes</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