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NMX-43</w:t>
      </w:r>
    </w:p>
    <w:p>
      <w:pPr>
        <w:spacing w:before="0" w:after="160" w:line="252" w:lineRule="auto"/>
      </w:pPr>
      <w:r>
        <w:rPr>
          <w:rFonts w:ascii="Calibri" w:hAnsi="Calibri"/>
          <w:b/>
          <w:i w:val="0"/>
          <w:color w:val="1A2B33"/>
          <w:sz w:val="38"/>
        </w:rPr>
        <w:t>Biblioteca UDD y Banco Clínico-Formativo (Bases de la Nutrición I y II)</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2 · Bases y Bibliotecas</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Biblioteca de nutrientes y banco de casos</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v1.2.0</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(declarado). Estructura extensa (45 hojas, 28 tablas); incluye hojas internas ocultas.</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NMX-43_BIBLIOTECA_UDD_v1_2_0_CASOS_69(3)_COMERCIAL_PRE_P19_REPARADO_PRE_P19.xlsx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NMX-43 · Biblioteca UDD y Banco Clínico-Formativo (Bases de la Nutrición I y II)</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2 · Bases y Bibliotecas</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Biblioteca de nutrientes y banco de casos</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Servir de biblioteca de nutrientes (energía, macros, IG/CG, agua/fibra, biomarcadores, interacciones) y banco de 69 casos clínico-formativos por micronutriente.</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Selecciones / listas desplegables: Nutriente, Nivel de caso (básico/intermedio/avanzado), Alimento y gramaje</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Fichas de nutrientes (23); Banco de 69 casos; Ranking por alimento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v1.2.0</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(declarado). Estructura extensa (45 hojas, 28 tablas); incluye hojas internas ocultas.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NMX-43 es un portafolio académico de Bases de la Nutrición: reúne 23 micronutrientes con fichas de nutriente, fuentes alimentarias (con selección por gramaje y ranking por 100 g sobre base INTA), índice/carga glicémica, agua y fibra, biomarcadores, interacciones y requerimientos. Su núcleo formativo es un banco de 69 casos (uno básico, uno intermedio y uno avanzado por micronutriente) con una matriz de cobertura 69/69. Los casos son educativos: no representan diagnóstico ni tratamiento. Es la biblioteca más extensa de la Fase 2 (45 hojas).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Servir de biblioteca de nutrientes (energía, macros, IG/CG, agua/fibra, biomarcadores, interacciones) y banco de 69 casos clínico-formativos por micronutriente.</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Consultar fichas por nutriente y sus fuentes alimentarias (INTA).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Seleccionar nutriente y nivel en CASOS_CLÍNICOS (matriz 69/69).</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Estudiar interacciones, biomarcadores y requerimientos.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Formativa; 23 micronutrientes y 69 casos educativos (básico/intermedio/avanzado por micronutriente).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Ficha de nutriente</w:t>
            </w:r>
          </w:p>
        </w:tc>
        <w:tc>
          <w:tcPr>
            <w:tcW w:type="dxa" w:w="2500"/>
          </w:tcPr>
          <w:p>
            <w:pPr>
              <w:spacing w:before="20" w:after="20"/>
            </w:pPr>
            <w:r>
              <w:rPr>
                <w:rFonts w:ascii="Calibri" w:hAnsi="Calibri"/>
                <w:b w:val="0"/>
                <w:i w:val="0"/>
                <w:color w:val="1A2B33"/>
                <w:sz w:val="18"/>
              </w:rPr>
              <w:t>Muestra la ficha de cada micronutriente</w:t>
            </w:r>
          </w:p>
        </w:tc>
        <w:tc>
          <w:tcPr>
            <w:tcW w:type="dxa" w:w="2000"/>
          </w:tcPr>
          <w:p>
            <w:pPr>
              <w:spacing w:before="20" w:after="20"/>
            </w:pPr>
            <w:r>
              <w:rPr>
                <w:rFonts w:ascii="Calibri" w:hAnsi="Calibri"/>
                <w:b w:val="0"/>
                <w:i w:val="0"/>
                <w:color w:val="1A2B33"/>
                <w:sz w:val="18"/>
              </w:rPr>
              <w:t>Selección de nutriente</w:t>
            </w:r>
          </w:p>
        </w:tc>
        <w:tc>
          <w:tcPr>
            <w:tcW w:type="dxa" w:w="2160"/>
          </w:tcPr>
          <w:p>
            <w:pPr>
              <w:spacing w:before="20" w:after="20"/>
            </w:pPr>
            <w:r>
              <w:rPr>
                <w:rFonts w:ascii="Calibri" w:hAnsi="Calibri"/>
                <w:b w:val="0"/>
                <w:i w:val="0"/>
                <w:color w:val="1A2B33"/>
                <w:sz w:val="18"/>
              </w:rPr>
              <w:t>Ficha + fuentes alimentarias</w:t>
            </w:r>
          </w:p>
        </w:tc>
        <w:tc>
          <w:tcPr>
            <w:tcW w:type="dxa" w:w="1200"/>
          </w:tcPr>
          <w:p>
            <w:pPr>
              <w:spacing w:before="20" w:after="20"/>
            </w:pPr>
            <w:r>
              <w:rPr>
                <w:rFonts w:ascii="Calibri" w:hAnsi="Calibri"/>
                <w:b w:val="0"/>
                <w:i w:val="0"/>
                <w:color w:val="1A2B33"/>
                <w:sz w:val="18"/>
              </w:rPr>
              <w:t>Básico</w:t>
            </w:r>
          </w:p>
        </w:tc>
      </w:tr>
      <w:tr>
        <w:tc>
          <w:tcPr>
            <w:tcW w:type="dxa" w:w="1500"/>
            <w:shd w:val="clear" w:color="auto" w:fill="F6F8F8"/>
          </w:tcPr>
          <w:p>
            <w:pPr>
              <w:spacing w:before="20" w:after="20"/>
            </w:pPr>
            <w:r>
              <w:rPr>
                <w:rFonts w:ascii="Calibri" w:hAnsi="Calibri"/>
                <w:b w:val="0"/>
                <w:i w:val="0"/>
                <w:color w:val="1A2B33"/>
                <w:sz w:val="18"/>
              </w:rPr>
              <w:t>Banco de casos</w:t>
            </w:r>
          </w:p>
        </w:tc>
        <w:tc>
          <w:tcPr>
            <w:tcW w:type="dxa" w:w="2500"/>
            <w:shd w:val="clear" w:color="auto" w:fill="F6F8F8"/>
          </w:tcPr>
          <w:p>
            <w:pPr>
              <w:spacing w:before="20" w:after="20"/>
            </w:pPr>
            <w:r>
              <w:rPr>
                <w:rFonts w:ascii="Calibri" w:hAnsi="Calibri"/>
                <w:b w:val="0"/>
                <w:i w:val="0"/>
                <w:color w:val="1A2B33"/>
                <w:sz w:val="18"/>
              </w:rPr>
              <w:t>Presenta 69 casos formativos por nivel</w:t>
            </w:r>
          </w:p>
        </w:tc>
        <w:tc>
          <w:tcPr>
            <w:tcW w:type="dxa" w:w="2000"/>
            <w:shd w:val="clear" w:color="auto" w:fill="F6F8F8"/>
          </w:tcPr>
          <w:p>
            <w:pPr>
              <w:spacing w:before="20" w:after="20"/>
            </w:pPr>
            <w:r>
              <w:rPr>
                <w:rFonts w:ascii="Calibri" w:hAnsi="Calibri"/>
                <w:b w:val="0"/>
                <w:i w:val="0"/>
                <w:color w:val="1A2B33"/>
                <w:sz w:val="18"/>
              </w:rPr>
              <w:t>Nutriente + nivel</w:t>
            </w:r>
          </w:p>
        </w:tc>
        <w:tc>
          <w:tcPr>
            <w:tcW w:type="dxa" w:w="2160"/>
            <w:shd w:val="clear" w:color="auto" w:fill="F6F8F8"/>
          </w:tcPr>
          <w:p>
            <w:pPr>
              <w:spacing w:before="20" w:after="20"/>
            </w:pPr>
            <w:r>
              <w:rPr>
                <w:rFonts w:ascii="Calibri" w:hAnsi="Calibri"/>
                <w:b w:val="0"/>
                <w:i w:val="0"/>
                <w:color w:val="1A2B33"/>
                <w:sz w:val="18"/>
              </w:rPr>
              <w:t>Caso educativo estructurado</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Ranking alimentario</w:t>
            </w:r>
          </w:p>
        </w:tc>
        <w:tc>
          <w:tcPr>
            <w:tcW w:type="dxa" w:w="2500"/>
          </w:tcPr>
          <w:p>
            <w:pPr>
              <w:spacing w:before="20" w:after="20"/>
            </w:pPr>
            <w:r>
              <w:rPr>
                <w:rFonts w:ascii="Calibri" w:hAnsi="Calibri"/>
                <w:b w:val="0"/>
                <w:i w:val="0"/>
                <w:color w:val="1A2B33"/>
                <w:sz w:val="18"/>
              </w:rPr>
              <w:t>Ordena alimentos por aporte/100 g (INTA)</w:t>
            </w:r>
          </w:p>
        </w:tc>
        <w:tc>
          <w:tcPr>
            <w:tcW w:type="dxa" w:w="2000"/>
          </w:tcPr>
          <w:p>
            <w:pPr>
              <w:spacing w:before="20" w:after="20"/>
            </w:pPr>
            <w:r>
              <w:rPr>
                <w:rFonts w:ascii="Calibri" w:hAnsi="Calibri"/>
                <w:b w:val="0"/>
                <w:i w:val="0"/>
                <w:color w:val="1A2B33"/>
                <w:sz w:val="18"/>
              </w:rPr>
              <w:t>Nutriente + gramaje</w:t>
            </w:r>
          </w:p>
        </w:tc>
        <w:tc>
          <w:tcPr>
            <w:tcW w:type="dxa" w:w="2160"/>
          </w:tcPr>
          <w:p>
            <w:pPr>
              <w:spacing w:before="20" w:after="20"/>
            </w:pPr>
            <w:r>
              <w:rPr>
                <w:rFonts w:ascii="Calibri" w:hAnsi="Calibri"/>
                <w:b w:val="0"/>
                <w:i w:val="0"/>
                <w:color w:val="1A2B33"/>
                <w:sz w:val="18"/>
              </w:rPr>
              <w:t>Ranking y % de referencia</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Selecciones / listas desplegables</w:t>
      </w:r>
    </w:p>
    <w:p>
      <w:pPr>
        <w:spacing w:before="40" w:after="60" w:line="276" w:lineRule="auto"/>
      </w:pPr>
      <w:r>
        <w:rPr>
          <w:rFonts w:ascii="Calibri" w:hAnsi="Calibri"/>
          <w:b w:val="0"/>
          <w:i w:val="0"/>
          <w:color w:val="1A2B33"/>
          <w:sz w:val="19"/>
        </w:rPr>
        <w:t>Nutriente, Nivel de caso (básico/intermedio/avanzado), Alimento y gramaje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Fichas de nutrientes (23)</w:t>
            </w:r>
          </w:p>
        </w:tc>
        <w:tc>
          <w:tcPr>
            <w:tcW w:type="dxa" w:w="1700"/>
          </w:tcPr>
          <w:p>
            <w:pPr>
              <w:spacing w:before="20" w:after="20"/>
            </w:pPr>
            <w:r>
              <w:rPr>
                <w:rFonts w:ascii="Calibri" w:hAnsi="Calibri"/>
                <w:b w:val="0"/>
                <w:i w:val="0"/>
                <w:color w:val="1A2B33"/>
                <w:sz w:val="18"/>
              </w:rPr>
              <w:t>REGISTRO</w:t>
            </w:r>
          </w:p>
        </w:tc>
        <w:tc>
          <w:tcPr>
            <w:tcW w:type="dxa" w:w="1560"/>
          </w:tcPr>
          <w:p>
            <w:pPr>
              <w:spacing w:before="20" w:after="20"/>
            </w:pPr>
            <w:r>
              <w:rPr>
                <w:rFonts w:ascii="Calibri" w:hAnsi="Calibri"/>
                <w:b w:val="0"/>
                <w:i w:val="0"/>
                <w:color w:val="1A2B33"/>
                <w:sz w:val="18"/>
              </w:rPr>
              <w:t>n/a</w:t>
            </w:r>
          </w:p>
        </w:tc>
        <w:tc>
          <w:tcPr>
            <w:tcW w:type="dxa" w:w="3100"/>
          </w:tcPr>
          <w:p>
            <w:pPr>
              <w:spacing w:before="20" w:after="20"/>
            </w:pPr>
            <w:r>
              <w:rPr>
                <w:rFonts w:ascii="Calibri" w:hAnsi="Calibri"/>
                <w:b w:val="0"/>
                <w:i w:val="0"/>
                <w:color w:val="1A2B33"/>
                <w:sz w:val="18"/>
              </w:rPr>
              <w:t>Selección de nutriente</w:t>
            </w:r>
          </w:p>
        </w:tc>
      </w:tr>
      <w:tr>
        <w:tc>
          <w:tcPr>
            <w:tcW w:type="dxa" w:w="3000"/>
            <w:shd w:val="clear" w:color="auto" w:fill="F6F8F8"/>
          </w:tcPr>
          <w:p>
            <w:pPr>
              <w:spacing w:before="20" w:after="20"/>
            </w:pPr>
            <w:r>
              <w:rPr>
                <w:rFonts w:ascii="Calibri" w:hAnsi="Calibri"/>
                <w:b w:val="0"/>
                <w:i w:val="0"/>
                <w:color w:val="1A2B33"/>
                <w:sz w:val="18"/>
              </w:rPr>
              <w:t>Banco de 69 casos</w:t>
            </w:r>
          </w:p>
        </w:tc>
        <w:tc>
          <w:tcPr>
            <w:tcW w:type="dxa" w:w="1700"/>
            <w:shd w:val="clear" w:color="auto" w:fill="F6F8F8"/>
          </w:tcPr>
          <w:p>
            <w:pPr>
              <w:spacing w:before="20" w:after="20"/>
            </w:pPr>
            <w:r>
              <w:rPr>
                <w:rFonts w:ascii="Calibri" w:hAnsi="Calibri"/>
                <w:b w:val="0"/>
                <w:i w:val="0"/>
                <w:color w:val="1A2B33"/>
                <w:sz w:val="18"/>
              </w:rPr>
              <w:t>REGISTRO</w:t>
            </w:r>
          </w:p>
        </w:tc>
        <w:tc>
          <w:tcPr>
            <w:tcW w:type="dxa" w:w="1560"/>
            <w:shd w:val="clear" w:color="auto" w:fill="F6F8F8"/>
          </w:tcPr>
          <w:p>
            <w:pPr>
              <w:spacing w:before="20" w:after="20"/>
            </w:pPr>
            <w:r>
              <w:rPr>
                <w:rFonts w:ascii="Calibri" w:hAnsi="Calibri"/>
                <w:b w:val="0"/>
                <w:i w:val="0"/>
                <w:color w:val="1A2B33"/>
                <w:sz w:val="18"/>
              </w:rPr>
              <w:t>n/a</w:t>
            </w:r>
          </w:p>
        </w:tc>
        <w:tc>
          <w:tcPr>
            <w:tcW w:type="dxa" w:w="3100"/>
            <w:shd w:val="clear" w:color="auto" w:fill="F6F8F8"/>
          </w:tcPr>
          <w:p>
            <w:pPr>
              <w:spacing w:before="20" w:after="20"/>
            </w:pPr>
            <w:r>
              <w:rPr>
                <w:rFonts w:ascii="Calibri" w:hAnsi="Calibri"/>
                <w:b w:val="0"/>
                <w:i w:val="0"/>
                <w:color w:val="1A2B33"/>
                <w:sz w:val="18"/>
              </w:rPr>
              <w:t>Nutriente + nivel</w:t>
            </w:r>
          </w:p>
        </w:tc>
      </w:tr>
      <w:tr>
        <w:tc>
          <w:tcPr>
            <w:tcW w:type="dxa" w:w="3000"/>
          </w:tcPr>
          <w:p>
            <w:pPr>
              <w:spacing w:before="20" w:after="20"/>
            </w:pPr>
            <w:r>
              <w:rPr>
                <w:rFonts w:ascii="Calibri" w:hAnsi="Calibri"/>
                <w:b w:val="0"/>
                <w:i w:val="0"/>
                <w:color w:val="1A2B33"/>
                <w:sz w:val="18"/>
              </w:rPr>
              <w:t>Ranking por alimento</w:t>
            </w:r>
          </w:p>
        </w:tc>
        <w:tc>
          <w:tcPr>
            <w:tcW w:type="dxa" w:w="1700"/>
          </w:tcPr>
          <w:p>
            <w:pPr>
              <w:spacing w:before="20" w:after="20"/>
            </w:pPr>
            <w:r>
              <w:rPr>
                <w:rFonts w:ascii="Calibri" w:hAnsi="Calibri"/>
                <w:b w:val="0"/>
                <w:i w:val="0"/>
                <w:color w:val="1A2B33"/>
                <w:sz w:val="18"/>
              </w:rPr>
              <w:t>COMPARACIÓN</w:t>
            </w:r>
          </w:p>
        </w:tc>
        <w:tc>
          <w:tcPr>
            <w:tcW w:type="dxa" w:w="1560"/>
          </w:tcPr>
          <w:p>
            <w:pPr>
              <w:spacing w:before="20" w:after="20"/>
            </w:pPr>
            <w:r>
              <w:rPr>
                <w:rFonts w:ascii="Calibri" w:hAnsi="Calibri"/>
                <w:b w:val="0"/>
                <w:i w:val="0"/>
                <w:color w:val="1A2B33"/>
                <w:sz w:val="18"/>
              </w:rPr>
              <w:t>aporte/100 g</w:t>
            </w:r>
          </w:p>
        </w:tc>
        <w:tc>
          <w:tcPr>
            <w:tcW w:type="dxa" w:w="3100"/>
          </w:tcPr>
          <w:p>
            <w:pPr>
              <w:spacing w:before="20" w:after="20"/>
            </w:pPr>
            <w:r>
              <w:rPr>
                <w:rFonts w:ascii="Calibri" w:hAnsi="Calibri"/>
                <w:b w:val="0"/>
                <w:i w:val="0"/>
                <w:color w:val="1A2B33"/>
                <w:sz w:val="18"/>
              </w:rPr>
              <w:t>Depende del nutriente y gramaje</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NUTRIENTES/FICHA_NUTRIENTE</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FUENTES_ALIMENTARIAS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CASOS_CLÍNICOS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FICHA_NUTRIENTE</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CASOS_CLÍNICOS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45 hojas (36 visibles y 9 ocultas o auxiliares). Incorpora aproximadamente 880 fórmulas, 0 gráficos, 28 tablas estructuradas y 19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Estudiante que estudia el zinc en nivel intermedio.</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Selecciona 'Zinc' y nivel 'intermedio' en CASOS_CLÍNICOS.</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Consulta la ficha, las fuentes alimentarias por gramaje y el caso.</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Trabaja el caso como ejercicio formativo, no como diagnóstico real.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23 micronutrientes; 69 casos (3 niveles × 23)</w:t>
            </w:r>
          </w:p>
        </w:tc>
        <w:tc>
          <w:tcPr>
            <w:tcW w:type="dxa" w:w="1500"/>
          </w:tcPr>
          <w:p>
            <w:pPr>
              <w:spacing w:before="20" w:after="20"/>
            </w:pPr>
            <w:r>
              <w:rPr>
                <w:rFonts w:ascii="Calibri" w:hAnsi="Calibri"/>
                <w:b w:val="0"/>
                <w:i w:val="0"/>
                <w:color w:val="1A2B33"/>
                <w:sz w:val="18"/>
              </w:rPr>
              <w:t>Formativa</w:t>
            </w:r>
          </w:p>
        </w:tc>
        <w:tc>
          <w:tcPr>
            <w:tcW w:type="dxa" w:w="1760"/>
          </w:tcPr>
          <w:p>
            <w:pPr>
              <w:spacing w:before="20" w:after="20"/>
            </w:pPr>
            <w:r>
              <w:rPr>
                <w:rFonts w:ascii="Calibri" w:hAnsi="Calibri"/>
                <w:b w:val="0"/>
                <w:i w:val="0"/>
                <w:color w:val="1A2B33"/>
                <w:sz w:val="18"/>
              </w:rPr>
              <w:t>Cobertura 69/69</w:t>
            </w:r>
          </w:p>
        </w:tc>
        <w:tc>
          <w:tcPr>
            <w:tcW w:type="dxa" w:w="2000"/>
          </w:tcPr>
          <w:p>
            <w:pPr>
              <w:spacing w:before="20" w:after="20"/>
            </w:pPr>
            <w:r>
              <w:rPr>
                <w:rFonts w:ascii="Calibri" w:hAnsi="Calibri"/>
                <w:b w:val="0"/>
                <w:i w:val="0"/>
                <w:color w:val="1A2B33"/>
                <w:sz w:val="18"/>
              </w:rPr>
              <w:t>Casos educativos, no clínicos</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Fuentes alimentarias por gramaje sobre base INTA</w:t>
            </w:r>
          </w:p>
        </w:tc>
        <w:tc>
          <w:tcPr>
            <w:tcW w:type="dxa" w:w="1500"/>
            <w:shd w:val="clear" w:color="auto" w:fill="F6F8F8"/>
          </w:tcPr>
          <w:p>
            <w:pPr>
              <w:spacing w:before="20" w:after="20"/>
            </w:pPr>
            <w:r>
              <w:rPr>
                <w:rFonts w:ascii="Calibri" w:hAnsi="Calibri"/>
                <w:b w:val="0"/>
                <w:i w:val="0"/>
                <w:color w:val="1A2B33"/>
                <w:sz w:val="18"/>
              </w:rPr>
              <w:t>Chile</w:t>
            </w:r>
          </w:p>
        </w:tc>
        <w:tc>
          <w:tcPr>
            <w:tcW w:type="dxa" w:w="1760"/>
            <w:shd w:val="clear" w:color="auto" w:fill="F6F8F8"/>
          </w:tcPr>
          <w:p>
            <w:pPr>
              <w:spacing w:before="20" w:after="20"/>
            </w:pPr>
            <w:r>
              <w:rPr>
                <w:rFonts w:ascii="Calibri" w:hAnsi="Calibri"/>
                <w:b w:val="0"/>
                <w:i w:val="0"/>
                <w:color w:val="1A2B33"/>
                <w:sz w:val="18"/>
              </w:rPr>
              <w:t>Ranking/adecuación</w:t>
            </w:r>
          </w:p>
        </w:tc>
        <w:tc>
          <w:tcPr>
            <w:tcW w:type="dxa" w:w="2000"/>
            <w:shd w:val="clear" w:color="auto" w:fill="F6F8F8"/>
          </w:tcPr>
          <w:p>
            <w:pPr>
              <w:spacing w:before="20" w:after="20"/>
            </w:pPr>
            <w:r>
              <w:rPr>
                <w:rFonts w:ascii="Calibri" w:hAnsi="Calibri"/>
                <w:b w:val="0"/>
                <w:i w:val="0"/>
                <w:color w:val="1A2B33"/>
                <w:sz w:val="18"/>
              </w:rPr>
              <w:t>Uso educativo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(composición) / DRI / literatura de nutrientes</w:t>
            </w:r>
          </w:p>
        </w:tc>
        <w:tc>
          <w:tcPr>
            <w:tcW w:type="dxa" w:w="2600"/>
          </w:tcPr>
          <w:p>
            <w:pPr>
              <w:spacing w:before="20" w:after="20"/>
            </w:pPr>
            <w:r>
              <w:rPr>
                <w:rFonts w:ascii="Calibri" w:hAnsi="Calibri"/>
                <w:b w:val="0"/>
                <w:i w:val="0"/>
                <w:color w:val="1A2B33"/>
                <w:sz w:val="17"/>
              </w:rPr>
              <w:t>Bases FICHAS_BASE, DRI_BASE, IG_BASE, CASOS_BASE</w:t>
            </w:r>
          </w:p>
        </w:tc>
        <w:tc>
          <w:tcPr>
            <w:tcW w:type="dxa" w:w="700"/>
          </w:tcPr>
          <w:p>
            <w:pPr>
              <w:spacing w:before="20" w:after="20"/>
            </w:pPr>
            <w:r>
              <w:rPr>
                <w:rFonts w:ascii="Calibri" w:hAnsi="Calibri"/>
                <w:b w:val="0"/>
                <w:i w:val="0"/>
                <w:color w:val="1A2B33"/>
                <w:sz w:val="17"/>
              </w:rPr>
              <w:t>s/f</w:t>
            </w:r>
          </w:p>
        </w:tc>
        <w:tc>
          <w:tcPr>
            <w:tcW w:type="dxa" w:w="2160"/>
          </w:tcPr>
          <w:p>
            <w:pPr>
              <w:spacing w:before="20" w:after="20"/>
            </w:pPr>
            <w:r>
              <w:rPr>
                <w:rFonts w:ascii="Calibri" w:hAnsi="Calibri"/>
                <w:b w:val="0"/>
                <w:i w:val="0"/>
                <w:color w:val="1A2B33"/>
                <w:sz w:val="17"/>
              </w:rPr>
              <w:t>Fichas, casos y rankings</w:t>
            </w:r>
          </w:p>
        </w:tc>
        <w:tc>
          <w:tcPr>
            <w:tcW w:type="dxa" w:w="1700"/>
          </w:tcPr>
          <w:p>
            <w:pPr>
              <w:spacing w:before="20" w:after="20"/>
            </w:pPr>
            <w:r>
              <w:rPr>
                <w:rFonts w:ascii="Calibri" w:hAnsi="Calibri"/>
                <w:b w:val="0"/>
                <w:i w:val="0"/>
                <w:color w:val="1A2B33"/>
                <w:sz w:val="17"/>
              </w:rPr>
              <w:t>FUENTE_SECUNDARIA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Los 69 casos son educativos; no representan diagnóstico, prescripción ni tratamiento. Las bases se apoyan en composición INTA y literatura de nutrientes con distintos niveles de verificación. Uso formativo.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NMX-15 · Biblioteca Profesional de Fórmulas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NMX-21 · Distribución Alimentaria (INTA 2018)</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NMX-43</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NMX-43_BIBLIOTECA_UDD_v1_2_0_CASOS_69(3)_COMERCIAL_PRE_P19_REPARADO_PRE_P19.xlsx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v1.2.0</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NMX-43 · Biblioteca UDD y Banco Clínico-Formativo (Bases de la Nutrición I y II)</w:t>
            </w:r>
          </w:p>
          <w:p>
            <w:pPr>
              <w:spacing w:before="80" w:after="0"/>
              <w:jc w:val="center"/>
            </w:pPr>
            <w:r>
              <w:rPr>
                <w:rFonts w:ascii="Calibri" w:hAnsi="Calibri"/>
                <w:b w:val="0"/>
                <w:i w:val="0"/>
                <w:color w:val="EDF2F1"/>
                <w:sz w:val="20"/>
              </w:rPr>
              <w:t>Fase 2 · Bases y Bibliotecas · v1.2.0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NMX-43 · Biblioteca UDD y Banco Clínico-Formativo (Base</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