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NMX-P1</w:t>
      </w:r>
    </w:p>
    <w:p>
      <w:pPr>
        <w:spacing w:before="0" w:after="160" w:line="252" w:lineRule="auto"/>
      </w:pPr>
      <w:r>
        <w:rPr>
          <w:rFonts w:ascii="Calibri" w:hAnsi="Calibri"/>
          <w:b/>
          <w:i w:val="0"/>
          <w:color w:val="1A2B33"/>
          <w:sz w:val="38"/>
        </w:rPr>
        <w:t>Guía del Paquete (Siete Herramientas)</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8 · Complementarios y Guía</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Guía/mapa de paquete (documentación)</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v1.0</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(declarado). Estructura de guía (10 hojas).</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NMX-P1_Guia_del_Paquete_v1_0__1_(3)_COMERCIAL_PRE_P19_REPARADO_PRE_P19.xlsx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NMX-P1 · Guía del Paquete (Siete Herramientas)</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8 · Complementarios y Guía</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Guía/mapa de paquete (documentación)</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Documentar el paquete de siete herramientas (NMX-03, 13, 20, 02, 07, 25, 24): qué son, en qué orden usarlas, qué dato pasa a cuál, qué se puede distribuir y su alcance común.</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Otros: Consulta/orientación (documenta el paquete; no calcula)</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Mapa del paquete; Alcance y condiciones</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v1.0</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(declarado). Estructura de guía (10 hojas).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NMX-P1 es la guía del paquete de siete herramientas de atención nutricional ambulatoria del adulto (NMX-03, NMX-13, NMX-20, NMX-02, NMX-07, NMX-25 y NMX-24). No es un motor de cálculo: documenta las herramientas, el orden recomendado, qué dato pasa de una a otra, qué se puede distribuir y el alcance común. Su distribución está autorizada por el titular; cinco herramientas incorporan base de composición y ninguna está validada clínicamente. Es la guía integradora de la Fase 8. (No fuerza estructura de calculadora: funciona como mapa/manual del paquete.)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Documentar el paquete de siete herramientas (NMX-03, 13, 20, 02, 07, 25, 24): qué son, en qué orden usarlas, qué dato pasa a cuál, qué se puede distribuir y su alcance común.</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Presentar las siete herramientas del paquete.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Indicar el orden de uso y el flujo de datos entre ellas.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Documentar licencia, integridad y alcance común.</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Atención nutricional ambulatoria de personas adultas en condición estable; NO pediatría, embarazo, lactancia ni patología aguda sin supervisión.</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Catálogo de herramientas</w:t>
            </w:r>
          </w:p>
        </w:tc>
        <w:tc>
          <w:tcPr>
            <w:tcW w:type="dxa" w:w="2500"/>
          </w:tcPr>
          <w:p>
            <w:pPr>
              <w:spacing w:before="20" w:after="20"/>
            </w:pPr>
            <w:r>
              <w:rPr>
                <w:rFonts w:ascii="Calibri" w:hAnsi="Calibri"/>
                <w:b w:val="0"/>
                <w:i w:val="0"/>
                <w:color w:val="1A2B33"/>
                <w:sz w:val="18"/>
              </w:rPr>
              <w:t>Presenta las 7 herramientas</w:t>
            </w:r>
          </w:p>
        </w:tc>
        <w:tc>
          <w:tcPr>
            <w:tcW w:type="dxa" w:w="2000"/>
          </w:tcPr>
          <w:p>
            <w:pPr>
              <w:spacing w:before="20" w:after="20"/>
            </w:pPr>
            <w:r>
              <w:rPr>
                <w:rFonts w:ascii="Calibri" w:hAnsi="Calibri"/>
                <w:b w:val="0"/>
                <w:i w:val="0"/>
                <w:color w:val="1A2B33"/>
                <w:sz w:val="18"/>
              </w:rPr>
              <w:t>Consulta</w:t>
            </w:r>
          </w:p>
        </w:tc>
        <w:tc>
          <w:tcPr>
            <w:tcW w:type="dxa" w:w="2160"/>
          </w:tcPr>
          <w:p>
            <w:pPr>
              <w:spacing w:before="20" w:after="20"/>
            </w:pPr>
            <w:r>
              <w:rPr>
                <w:rFonts w:ascii="Calibri" w:hAnsi="Calibri"/>
                <w:b w:val="0"/>
                <w:i w:val="0"/>
                <w:color w:val="1A2B33"/>
                <w:sz w:val="18"/>
              </w:rPr>
              <w:t>Catálogo del paquete</w:t>
            </w:r>
          </w:p>
        </w:tc>
        <w:tc>
          <w:tcPr>
            <w:tcW w:type="dxa" w:w="1200"/>
          </w:tcPr>
          <w:p>
            <w:pPr>
              <w:spacing w:before="20" w:after="20"/>
            </w:pPr>
            <w:r>
              <w:rPr>
                <w:rFonts w:ascii="Calibri" w:hAnsi="Calibri"/>
                <w:b w:val="0"/>
                <w:i w:val="0"/>
                <w:color w:val="1A2B33"/>
                <w:sz w:val="18"/>
              </w:rPr>
              <w:t>Básico</w:t>
            </w:r>
          </w:p>
        </w:tc>
      </w:tr>
      <w:tr>
        <w:tc>
          <w:tcPr>
            <w:tcW w:type="dxa" w:w="1500"/>
            <w:shd w:val="clear" w:color="auto" w:fill="F6F8F8"/>
          </w:tcPr>
          <w:p>
            <w:pPr>
              <w:spacing w:before="20" w:after="20"/>
            </w:pPr>
            <w:r>
              <w:rPr>
                <w:rFonts w:ascii="Calibri" w:hAnsi="Calibri"/>
                <w:b w:val="0"/>
                <w:i w:val="0"/>
                <w:color w:val="1A2B33"/>
                <w:sz w:val="18"/>
              </w:rPr>
              <w:t>Orden y flujo de datos</w:t>
            </w:r>
          </w:p>
        </w:tc>
        <w:tc>
          <w:tcPr>
            <w:tcW w:type="dxa" w:w="2500"/>
            <w:shd w:val="clear" w:color="auto" w:fill="F6F8F8"/>
          </w:tcPr>
          <w:p>
            <w:pPr>
              <w:spacing w:before="20" w:after="20"/>
            </w:pPr>
            <w:r>
              <w:rPr>
                <w:rFonts w:ascii="Calibri" w:hAnsi="Calibri"/>
                <w:b w:val="0"/>
                <w:i w:val="0"/>
                <w:color w:val="1A2B33"/>
                <w:sz w:val="18"/>
              </w:rPr>
              <w:t>Indica secuencia y traspaso de datos</w:t>
            </w:r>
          </w:p>
        </w:tc>
        <w:tc>
          <w:tcPr>
            <w:tcW w:type="dxa" w:w="2000"/>
            <w:shd w:val="clear" w:color="auto" w:fill="F6F8F8"/>
          </w:tcPr>
          <w:p>
            <w:pPr>
              <w:spacing w:before="20" w:after="20"/>
            </w:pPr>
            <w:r>
              <w:rPr>
                <w:rFonts w:ascii="Calibri" w:hAnsi="Calibri"/>
                <w:b w:val="0"/>
                <w:i w:val="0"/>
                <w:color w:val="1A2B33"/>
                <w:sz w:val="18"/>
              </w:rPr>
              <w:t>Consulta</w:t>
            </w:r>
          </w:p>
        </w:tc>
        <w:tc>
          <w:tcPr>
            <w:tcW w:type="dxa" w:w="2160"/>
            <w:shd w:val="clear" w:color="auto" w:fill="F6F8F8"/>
          </w:tcPr>
          <w:p>
            <w:pPr>
              <w:spacing w:before="20" w:after="20"/>
            </w:pPr>
            <w:r>
              <w:rPr>
                <w:rFonts w:ascii="Calibri" w:hAnsi="Calibri"/>
                <w:b w:val="0"/>
                <w:i w:val="0"/>
                <w:color w:val="1A2B33"/>
                <w:sz w:val="18"/>
              </w:rPr>
              <w:t>Mapa de uso</w:t>
            </w:r>
          </w:p>
        </w:tc>
        <w:tc>
          <w:tcPr>
            <w:tcW w:type="dxa" w:w="1200"/>
            <w:shd w:val="clear" w:color="auto" w:fill="F6F8F8"/>
          </w:tcPr>
          <w:p>
            <w:pPr>
              <w:spacing w:before="20" w:after="20"/>
            </w:pPr>
            <w:r>
              <w:rPr>
                <w:rFonts w:ascii="Calibri" w:hAnsi="Calibri"/>
                <w:b w:val="0"/>
                <w:i w:val="0"/>
                <w:color w:val="1A2B33"/>
                <w:sz w:val="18"/>
              </w:rPr>
              <w:t>Básico</w:t>
            </w:r>
          </w:p>
        </w:tc>
      </w:tr>
      <w:tr>
        <w:tc>
          <w:tcPr>
            <w:tcW w:type="dxa" w:w="1500"/>
          </w:tcPr>
          <w:p>
            <w:pPr>
              <w:spacing w:before="20" w:after="20"/>
            </w:pPr>
            <w:r>
              <w:rPr>
                <w:rFonts w:ascii="Calibri" w:hAnsi="Calibri"/>
                <w:b w:val="0"/>
                <w:i w:val="0"/>
                <w:color w:val="1A2B33"/>
                <w:sz w:val="18"/>
              </w:rPr>
              <w:t>Licencia y alcance común</w:t>
            </w:r>
          </w:p>
        </w:tc>
        <w:tc>
          <w:tcPr>
            <w:tcW w:type="dxa" w:w="2500"/>
          </w:tcPr>
          <w:p>
            <w:pPr>
              <w:spacing w:before="20" w:after="20"/>
            </w:pPr>
            <w:r>
              <w:rPr>
                <w:rFonts w:ascii="Calibri" w:hAnsi="Calibri"/>
                <w:b w:val="0"/>
                <w:i w:val="0"/>
                <w:color w:val="1A2B33"/>
                <w:sz w:val="18"/>
              </w:rPr>
              <w:t>Documenta distribución y límites</w:t>
            </w:r>
          </w:p>
        </w:tc>
        <w:tc>
          <w:tcPr>
            <w:tcW w:type="dxa" w:w="2000"/>
          </w:tcPr>
          <w:p>
            <w:pPr>
              <w:spacing w:before="20" w:after="20"/>
            </w:pPr>
            <w:r>
              <w:rPr>
                <w:rFonts w:ascii="Calibri" w:hAnsi="Calibri"/>
                <w:b w:val="0"/>
                <w:i w:val="0"/>
                <w:color w:val="1A2B33"/>
                <w:sz w:val="18"/>
              </w:rPr>
              <w:t>Consulta</w:t>
            </w:r>
          </w:p>
        </w:tc>
        <w:tc>
          <w:tcPr>
            <w:tcW w:type="dxa" w:w="2160"/>
          </w:tcPr>
          <w:p>
            <w:pPr>
              <w:spacing w:before="20" w:after="20"/>
            </w:pPr>
            <w:r>
              <w:rPr>
                <w:rFonts w:ascii="Calibri" w:hAnsi="Calibri"/>
                <w:b w:val="0"/>
                <w:i w:val="0"/>
                <w:color w:val="1A2B33"/>
                <w:sz w:val="18"/>
              </w:rPr>
              <w:t>Condiciones comunes</w:t>
            </w:r>
          </w:p>
        </w:tc>
        <w:tc>
          <w:tcPr>
            <w:tcW w:type="dxa" w:w="1200"/>
          </w:tcPr>
          <w:p>
            <w:pPr>
              <w:spacing w:before="20" w:after="20"/>
            </w:pPr>
            <w:r>
              <w:rPr>
                <w:rFonts w:ascii="Calibri" w:hAnsi="Calibri"/>
                <w:b w:val="0"/>
                <w:i w:val="0"/>
                <w:color w:val="1A2B33"/>
                <w:sz w:val="18"/>
              </w:rPr>
              <w:t>Básico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Otros</w:t>
      </w:r>
    </w:p>
    <w:p>
      <w:pPr>
        <w:spacing w:before="40" w:after="60" w:line="276" w:lineRule="auto"/>
      </w:pPr>
      <w:r>
        <w:rPr>
          <w:rFonts w:ascii="Calibri" w:hAnsi="Calibri"/>
          <w:b w:val="0"/>
          <w:i w:val="0"/>
          <w:color w:val="1A2B33"/>
          <w:sz w:val="19"/>
        </w:rPr>
        <w:t>Consulta/orientación (documenta el paquete; no calcula)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Mapa del paquete</w:t>
            </w:r>
          </w:p>
        </w:tc>
        <w:tc>
          <w:tcPr>
            <w:tcW w:type="dxa" w:w="1700"/>
          </w:tcPr>
          <w:p>
            <w:pPr>
              <w:spacing w:before="20" w:after="20"/>
            </w:pPr>
            <w:r>
              <w:rPr>
                <w:rFonts w:ascii="Calibri" w:hAnsi="Calibri"/>
                <w:b w:val="0"/>
                <w:i w:val="0"/>
                <w:color w:val="1A2B33"/>
                <w:sz w:val="18"/>
              </w:rPr>
              <w:t>REGISTRO</w:t>
            </w:r>
          </w:p>
        </w:tc>
        <w:tc>
          <w:tcPr>
            <w:tcW w:type="dxa" w:w="1560"/>
          </w:tcPr>
          <w:p>
            <w:pPr>
              <w:spacing w:before="20" w:after="20"/>
            </w:pPr>
            <w:r>
              <w:rPr>
                <w:rFonts w:ascii="Calibri" w:hAnsi="Calibri"/>
                <w:b w:val="0"/>
                <w:i w:val="0"/>
                <w:color w:val="1A2B33"/>
                <w:sz w:val="18"/>
              </w:rPr>
              <w:t>n/a</w:t>
            </w:r>
          </w:p>
        </w:tc>
        <w:tc>
          <w:tcPr>
            <w:tcW w:type="dxa" w:w="3100"/>
          </w:tcPr>
          <w:p>
            <w:pPr>
              <w:spacing w:before="20" w:after="20"/>
            </w:pPr>
            <w:r>
              <w:rPr>
                <w:rFonts w:ascii="Calibri" w:hAnsi="Calibri"/>
                <w:b w:val="0"/>
                <w:i w:val="0"/>
                <w:color w:val="1A2B33"/>
                <w:sz w:val="18"/>
              </w:rPr>
              <w:t>Independiente de entradas</w:t>
            </w:r>
          </w:p>
        </w:tc>
      </w:tr>
      <w:tr>
        <w:tc>
          <w:tcPr>
            <w:tcW w:type="dxa" w:w="3000"/>
            <w:shd w:val="clear" w:color="auto" w:fill="F6F8F8"/>
          </w:tcPr>
          <w:p>
            <w:pPr>
              <w:spacing w:before="20" w:after="20"/>
            </w:pPr>
            <w:r>
              <w:rPr>
                <w:rFonts w:ascii="Calibri" w:hAnsi="Calibri"/>
                <w:b w:val="0"/>
                <w:i w:val="0"/>
                <w:color w:val="1A2B33"/>
                <w:sz w:val="18"/>
              </w:rPr>
              <w:t>Alcance y condiciones</w:t>
            </w:r>
          </w:p>
        </w:tc>
        <w:tc>
          <w:tcPr>
            <w:tcW w:type="dxa" w:w="1700"/>
            <w:shd w:val="clear" w:color="auto" w:fill="F6F8F8"/>
          </w:tcPr>
          <w:p>
            <w:pPr>
              <w:spacing w:before="20" w:after="20"/>
            </w:pPr>
            <w:r>
              <w:rPr>
                <w:rFonts w:ascii="Calibri" w:hAnsi="Calibri"/>
                <w:b w:val="0"/>
                <w:i w:val="0"/>
                <w:color w:val="1A2B33"/>
                <w:sz w:val="18"/>
              </w:rPr>
              <w:t>REGISTRO</w:t>
            </w:r>
          </w:p>
        </w:tc>
        <w:tc>
          <w:tcPr>
            <w:tcW w:type="dxa" w:w="1560"/>
            <w:shd w:val="clear" w:color="auto" w:fill="F6F8F8"/>
          </w:tcPr>
          <w:p>
            <w:pPr>
              <w:spacing w:before="20" w:after="20"/>
            </w:pPr>
            <w:r>
              <w:rPr>
                <w:rFonts w:ascii="Calibri" w:hAnsi="Calibri"/>
                <w:b w:val="0"/>
                <w:i w:val="0"/>
                <w:color w:val="1A2B33"/>
                <w:sz w:val="18"/>
              </w:rPr>
              <w:t>n/a</w:t>
            </w:r>
          </w:p>
        </w:tc>
        <w:tc>
          <w:tcPr>
            <w:tcW w:type="dxa" w:w="3100"/>
            <w:shd w:val="clear" w:color="auto" w:fill="F6F8F8"/>
          </w:tcPr>
          <w:p>
            <w:pPr>
              <w:spacing w:before="20" w:after="20"/>
            </w:pPr>
            <w:r>
              <w:rPr>
                <w:rFonts w:ascii="Calibri" w:hAnsi="Calibri"/>
                <w:b w:val="0"/>
                <w:i w:val="0"/>
                <w:color w:val="1A2B33"/>
                <w:sz w:val="18"/>
              </w:rPr>
              <w:t>Independiente de entradas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CATALOGO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FLUJO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CONEXIONES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LICENCIA</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VERIFICACION</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CATALOGO</w:t>
            </w:r>
          </w:p>
        </w:tc>
        <w:tc>
          <w:tcPr>
            <w:tcW w:type="dxa" w:w="5760"/>
            <w:shd w:val="clear" w:color="auto" w:fill="F6F8F8"/>
          </w:tcPr>
          <w:p>
            <w:pPr>
              <w:spacing w:before="20" w:after="20"/>
            </w:pPr>
            <w:r>
              <w:rPr>
                <w:rFonts w:ascii="Calibri" w:hAnsi="Calibri"/>
                <w:b w:val="0"/>
                <w:i w:val="0"/>
                <w:color w:val="1A2B33"/>
                <w:sz w:val="18"/>
              </w:rPr>
              <w:t>OTRA_RELEVANTE</w:t>
            </w:r>
          </w:p>
        </w:tc>
      </w:tr>
      <w:tr>
        <w:tc>
          <w:tcPr>
            <w:tcW w:type="dxa" w:w="3600"/>
          </w:tcPr>
          <w:p>
            <w:pPr>
              <w:spacing w:before="20" w:after="20"/>
            </w:pPr>
            <w:r>
              <w:rPr>
                <w:rFonts w:ascii="Calibri" w:hAnsi="Calibri"/>
                <w:b w:val="0"/>
                <w:i w:val="0"/>
                <w:color w:val="1A2B33"/>
                <w:sz w:val="18"/>
              </w:rPr>
              <w:t>FLUJO</w:t>
            </w:r>
          </w:p>
        </w:tc>
        <w:tc>
          <w:tcPr>
            <w:tcW w:type="dxa" w:w="5760"/>
          </w:tcPr>
          <w:p>
            <w:pPr>
              <w:spacing w:before="20" w:after="20"/>
            </w:pPr>
            <w:r>
              <w:rPr>
                <w:rFonts w:ascii="Calibri" w:hAnsi="Calibri"/>
                <w:b w:val="0"/>
                <w:i w:val="0"/>
                <w:color w:val="1A2B33"/>
                <w:sz w:val="18"/>
              </w:rPr>
              <w:t>OTRA_RELEVANTE</w:t>
            </w:r>
          </w:p>
        </w:tc>
      </w:tr>
      <w:tr>
        <w:tc>
          <w:tcPr>
            <w:tcW w:type="dxa" w:w="3600"/>
            <w:shd w:val="clear" w:color="auto" w:fill="F6F8F8"/>
          </w:tcPr>
          <w:p>
            <w:pPr>
              <w:spacing w:before="20" w:after="20"/>
            </w:pPr>
            <w:r>
              <w:rPr>
                <w:rFonts w:ascii="Calibri" w:hAnsi="Calibri"/>
                <w:b w:val="0"/>
                <w:i w:val="0"/>
                <w:color w:val="1A2B33"/>
                <w:sz w:val="18"/>
              </w:rPr>
              <w:t>LICENCIA</w:t>
            </w:r>
          </w:p>
        </w:tc>
        <w:tc>
          <w:tcPr>
            <w:tcW w:type="dxa" w:w="5760"/>
            <w:shd w:val="clear" w:color="auto" w:fill="F6F8F8"/>
          </w:tcPr>
          <w:p>
            <w:pPr>
              <w:spacing w:before="20" w:after="20"/>
            </w:pPr>
            <w:r>
              <w:rPr>
                <w:rFonts w:ascii="Calibri" w:hAnsi="Calibri"/>
                <w:b w:val="0"/>
                <w:i w:val="0"/>
                <w:color w:val="1A2B33"/>
                <w:sz w:val="18"/>
              </w:rPr>
              <w:t>OTRA_RELEVANTE</w:t>
            </w:r>
          </w:p>
        </w:tc>
      </w:tr>
      <w:tr>
        <w:tc>
          <w:tcPr>
            <w:tcW w:type="dxa" w:w="3600"/>
          </w:tcPr>
          <w:p>
            <w:pPr>
              <w:spacing w:before="20" w:after="20"/>
            </w:pPr>
            <w:r>
              <w:rPr>
                <w:rFonts w:ascii="Calibri" w:hAnsi="Calibri"/>
                <w:b w:val="0"/>
                <w:i w:val="0"/>
                <w:color w:val="1A2B33"/>
                <w:sz w:val="18"/>
              </w:rPr>
              <w:t>FUENTES</w:t>
            </w:r>
          </w:p>
        </w:tc>
        <w:tc>
          <w:tcPr>
            <w:tcW w:type="dxa" w:w="5760"/>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10 hojas (7 visibles y 3 ocultas o auxiliares). Incorpora aproximadamente 69 fórmulas, 0 gráficos, 0 tablas estructuradas y 19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Profesional que quiere ordenar la atención ambulatoria de un adulto.</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Consulta la guía: qué herramienta usar y en qué orden.</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Sigue el flujo de datos entre NMX-03/13/20/02/07/25/24.</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Respeta el alcance común y las condiciones de distribución.</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DECISIÓN_DE_INGENIERÍA</w:t>
            </w:r>
          </w:p>
        </w:tc>
        <w:tc>
          <w:tcPr>
            <w:tcW w:type="dxa" w:w="2600"/>
          </w:tcPr>
          <w:p>
            <w:pPr>
              <w:spacing w:before="20" w:after="20"/>
            </w:pPr>
            <w:r>
              <w:rPr>
                <w:rFonts w:ascii="Calibri" w:hAnsi="Calibri"/>
                <w:b w:val="0"/>
                <w:i w:val="0"/>
                <w:color w:val="1A2B33"/>
                <w:sz w:val="18"/>
              </w:rPr>
              <w:t>Guía/mapa del paquete (no calculadora)</w:t>
            </w:r>
          </w:p>
        </w:tc>
        <w:tc>
          <w:tcPr>
            <w:tcW w:type="dxa" w:w="1500"/>
          </w:tcPr>
          <w:p>
            <w:pPr>
              <w:spacing w:before="20" w:after="20"/>
            </w:pPr>
            <w:r>
              <w:rPr>
                <w:rFonts w:ascii="Calibri" w:hAnsi="Calibri"/>
                <w:b w:val="0"/>
                <w:i w:val="0"/>
                <w:color w:val="1A2B33"/>
                <w:sz w:val="18"/>
              </w:rPr>
              <w:t>Adultos ambulatorio</w:t>
            </w:r>
          </w:p>
        </w:tc>
        <w:tc>
          <w:tcPr>
            <w:tcW w:type="dxa" w:w="1760"/>
          </w:tcPr>
          <w:p>
            <w:pPr>
              <w:spacing w:before="20" w:after="20"/>
            </w:pPr>
            <w:r>
              <w:rPr>
                <w:rFonts w:ascii="Calibri" w:hAnsi="Calibri"/>
                <w:b w:val="0"/>
                <w:i w:val="0"/>
                <w:color w:val="1A2B33"/>
                <w:sz w:val="18"/>
              </w:rPr>
              <w:t>Documentación integradora</w:t>
            </w:r>
          </w:p>
        </w:tc>
        <w:tc>
          <w:tcPr>
            <w:tcW w:type="dxa" w:w="2000"/>
          </w:tcPr>
          <w:p>
            <w:pPr>
              <w:spacing w:before="20" w:after="20"/>
            </w:pPr>
            <w:r>
              <w:rPr>
                <w:rFonts w:ascii="Calibri" w:hAnsi="Calibri"/>
                <w:b w:val="0"/>
                <w:i w:val="0"/>
                <w:color w:val="1A2B33"/>
                <w:sz w:val="18"/>
              </w:rPr>
              <w:t>Distribución autorizada (composición incorporada)</w:t>
            </w:r>
          </w:p>
        </w:tc>
      </w:tr>
      <w:tr>
        <w:tc>
          <w:tcPr>
            <w:tcW w:type="dxa" w:w="1500"/>
            <w:shd w:val="clear" w:color="auto" w:fill="F6F8F8"/>
          </w:tcPr>
          <w:p>
            <w:pPr>
              <w:spacing w:before="20" w:after="20"/>
            </w:pPr>
            <w:r>
              <w:rPr>
                <w:rFonts w:ascii="Calibri" w:hAnsi="Calibri"/>
                <w:b w:val="0"/>
                <w:i w:val="0"/>
                <w:color w:val="1A2B33"/>
                <w:sz w:val="18"/>
              </w:rPr>
              <w:t>REGLA DE IMPLEMENTACIÓN</w:t>
            </w:r>
          </w:p>
        </w:tc>
        <w:tc>
          <w:tcPr>
            <w:tcW w:type="dxa" w:w="2600"/>
            <w:shd w:val="clear" w:color="auto" w:fill="F6F8F8"/>
          </w:tcPr>
          <w:p>
            <w:pPr>
              <w:spacing w:before="20" w:after="20"/>
            </w:pPr>
            <w:r>
              <w:rPr>
                <w:rFonts w:ascii="Calibri" w:hAnsi="Calibri"/>
                <w:b w:val="0"/>
                <w:i w:val="0"/>
                <w:color w:val="1A2B33"/>
                <w:sz w:val="18"/>
              </w:rPr>
              <w:t>Alcance común: adultos estables ambulatorios</w:t>
            </w:r>
          </w:p>
        </w:tc>
        <w:tc>
          <w:tcPr>
            <w:tcW w:type="dxa" w:w="1500"/>
            <w:shd w:val="clear" w:color="auto" w:fill="F6F8F8"/>
          </w:tcPr>
          <w:p>
            <w:pPr>
              <w:spacing w:before="20" w:after="20"/>
            </w:pPr>
            <w:r>
              <w:rPr>
                <w:rFonts w:ascii="Calibri" w:hAnsi="Calibri"/>
                <w:b w:val="0"/>
                <w:i w:val="0"/>
                <w:color w:val="1A2B33"/>
                <w:sz w:val="18"/>
              </w:rPr>
              <w:t>Adultos</w:t>
            </w:r>
          </w:p>
        </w:tc>
        <w:tc>
          <w:tcPr>
            <w:tcW w:type="dxa" w:w="1760"/>
            <w:shd w:val="clear" w:color="auto" w:fill="F6F8F8"/>
          </w:tcPr>
          <w:p>
            <w:pPr>
              <w:spacing w:before="20" w:after="20"/>
            </w:pPr>
            <w:r>
              <w:rPr>
                <w:rFonts w:ascii="Calibri" w:hAnsi="Calibri"/>
                <w:b w:val="0"/>
                <w:i w:val="0"/>
                <w:color w:val="1A2B33"/>
                <w:sz w:val="18"/>
              </w:rPr>
              <w:t>Límites del paquete</w:t>
            </w:r>
          </w:p>
        </w:tc>
        <w:tc>
          <w:tcPr>
            <w:tcW w:type="dxa" w:w="2000"/>
            <w:shd w:val="clear" w:color="auto" w:fill="F6F8F8"/>
          </w:tcPr>
          <w:p>
            <w:pPr>
              <w:spacing w:before="20" w:after="20"/>
            </w:pPr>
            <w:r>
              <w:rPr>
                <w:rFonts w:ascii="Calibri" w:hAnsi="Calibri"/>
                <w:b w:val="0"/>
                <w:i w:val="0"/>
                <w:color w:val="1A2B33"/>
                <w:sz w:val="18"/>
              </w:rPr>
              <w:t>No pediatría/embarazo/agudo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Nutrimetría (componentes)</w:t>
            </w:r>
          </w:p>
        </w:tc>
        <w:tc>
          <w:tcPr>
            <w:tcW w:type="dxa" w:w="2600"/>
          </w:tcPr>
          <w:p>
            <w:pPr>
              <w:spacing w:before="20" w:after="20"/>
            </w:pPr>
            <w:r>
              <w:rPr>
                <w:rFonts w:ascii="Calibri" w:hAnsi="Calibri"/>
                <w:b w:val="0"/>
                <w:i w:val="0"/>
                <w:color w:val="1A2B33"/>
                <w:sz w:val="17"/>
              </w:rPr>
              <w:t>Alcance común de las 7 herramientas</w:t>
            </w:r>
          </w:p>
        </w:tc>
        <w:tc>
          <w:tcPr>
            <w:tcW w:type="dxa" w:w="700"/>
          </w:tcPr>
          <w:p>
            <w:pPr>
              <w:spacing w:before="20" w:after="20"/>
            </w:pPr>
            <w:r>
              <w:rPr>
                <w:rFonts w:ascii="Calibri" w:hAnsi="Calibri"/>
                <w:b w:val="0"/>
                <w:i w:val="0"/>
                <w:color w:val="1A2B33"/>
                <w:sz w:val="17"/>
              </w:rPr>
              <w:t>2026</w:t>
            </w:r>
          </w:p>
        </w:tc>
        <w:tc>
          <w:tcPr>
            <w:tcW w:type="dxa" w:w="2160"/>
          </w:tcPr>
          <w:p>
            <w:pPr>
              <w:spacing w:before="20" w:after="20"/>
            </w:pPr>
            <w:r>
              <w:rPr>
                <w:rFonts w:ascii="Calibri" w:hAnsi="Calibri"/>
                <w:b w:val="0"/>
                <w:i w:val="0"/>
                <w:color w:val="1A2B33"/>
                <w:sz w:val="17"/>
              </w:rPr>
              <w:t>Documentación</w:t>
            </w:r>
          </w:p>
        </w:tc>
        <w:tc>
          <w:tcPr>
            <w:tcW w:type="dxa" w:w="1700"/>
          </w:tcPr>
          <w:p>
            <w:pPr>
              <w:spacing w:before="20" w:after="20"/>
            </w:pPr>
            <w:r>
              <w:rPr>
                <w:rFonts w:ascii="Calibri" w:hAnsi="Calibri"/>
                <w:b w:val="0"/>
                <w:i w:val="0"/>
                <w:color w:val="1A2B33"/>
                <w:sz w:val="17"/>
              </w:rPr>
              <w:t>DECISIÓN_DE_INGENIERÍA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Es documentación, no cálculo. Distribución autorizada por el titular (cinco herramientas incorporan base de composición). Ninguna herramienta del paquete está validada clínicamente. Alcance adulto ambulatorio estable.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académico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Herramienta de apoyo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 el juicio profesional</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NMX-03 · Historia Clínica Nutricional Completa (Integración UDD)</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NMX-13 · Recordatorio de 24 Horas (con catálogo PAL, NMX-01)</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NMX-20 · Formulario Integral de Evaluación (Adulto, Persona Mayor, Hospital, Deporte, TEM, Frisancho)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NMX-02 · Tabla Dietosintética Semanal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NMX-07 · Gestor de Creación de Dietas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NMX-25 · Constructor de Platillos (Equivalentes Autorizados)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NMX-24 · Seguimiento Mensual de Hábitos (Habit Tracker)</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NMX-P1</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NMX-P1_Guia_del_Paquete_v1_0__1_(3)_COMERCIAL_PRE_P19_REPARADO_PRE_P19.xlsx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v1.0</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NMX-P1 · Guía del Paquete (Siete Herramientas)</w:t>
            </w:r>
          </w:p>
          <w:p>
            <w:pPr>
              <w:spacing w:before="80" w:after="0"/>
              <w:jc w:val="center"/>
            </w:pPr>
            <w:r>
              <w:rPr>
                <w:rFonts w:ascii="Calibri" w:hAnsi="Calibri"/>
                <w:b w:val="0"/>
                <w:i w:val="0"/>
                <w:color w:val="EDF2F1"/>
                <w:sz w:val="20"/>
              </w:rPr>
              <w:t>Fase 8 · Complementarios y Guía · v1.0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NMX-P1 · Guía del Paquete (Siete Herramientas)</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