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220" w:type="dxa"/>
          <w:bottom w:w="220" w:type="dxa"/>
          <w:left w:w="200" w:type="dxa"/>
          <w:right w:w="20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A3E3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60"/>
              </w:rPr>
              <w:t>NUTRIMETRÍA</w:t>
            </w:r>
          </w:p>
          <w:p>
            <w:pPr>
              <w:spacing w:before="40" w:after="0"/>
            </w:pPr>
            <w:r>
              <w:rPr>
                <w:rFonts w:ascii="Calibri" w:hAnsi="Calibri"/>
                <w:b w:val="0"/>
                <w:i w:val="0"/>
                <w:color w:val="EDF2F1"/>
                <w:sz w:val="22"/>
              </w:rPr>
              <w:t>Suite de herramientas para Nutrición y Dietética</w:t>
            </w:r>
          </w:p>
        </w:tc>
      </w:tr>
    </w:tbl>
    <w:p>
      <w:pPr>
        <w:spacing w:before="40" w:after="200" w:line="276" w:lineRule="auto"/>
      </w:pPr>
    </w:p>
    <w:p>
      <w:pPr>
        <w:spacing w:before="0" w:after="280"/>
        <w:pBdr>
          <w:bottom w:val="single" w:sz="8" w:space="1" w:color="C08A2B"/>
        </w:pBdr>
      </w:pPr>
    </w:p>
    <w:p>
      <w:pPr>
        <w:spacing w:before="120" w:after="40" w:line="276" w:lineRule="auto"/>
        <w:jc w:val="left"/>
      </w:pPr>
      <w:r>
        <w:rPr>
          <w:rFonts w:ascii="Calibri" w:hAnsi="Calibri"/>
          <w:b/>
          <w:i w:val="0"/>
          <w:color w:val="0F5A54"/>
          <w:sz w:val="80"/>
        </w:rPr>
        <w:t>NMX-22</w:t>
      </w:r>
    </w:p>
    <w:p>
      <w:pPr>
        <w:spacing w:before="0" w:after="160" w:line="252" w:lineRule="auto"/>
      </w:pPr>
      <w:r>
        <w:rPr>
          <w:rFonts w:ascii="Calibri" w:hAnsi="Calibri"/>
          <w:b/>
          <w:i w:val="0"/>
          <w:color w:val="1A2B33"/>
          <w:sz w:val="38"/>
        </w:rPr>
        <w:t>Registro Nutricional para Enfermedad Renal</w:t>
      </w:r>
    </w:p>
    <w:p>
      <w:pPr>
        <w:spacing w:before="40" w:after="12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700"/>
        <w:gridCol w:w="6660"/>
      </w:tblGrid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Fase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Fase 3 · Evaluación y Registro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Categoría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Registro dietético renal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NO_CONFIRMADO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Año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2026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Estado documental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PRE_P19 (estado documental declarado en el nombre del archivo)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Formato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.xlsx sin macros (declarado). Incluye hojas internas ocultas (CALCULOS, VALIDACION_RENAL).</w:t>
            </w:r>
          </w:p>
        </w:tc>
      </w:tr>
    </w:tbl>
    <w:p>
      <w:pPr>
        <w:spacing w:before="40" w:after="160" w:line="276" w:lineRule="auto"/>
      </w:pPr>
    </w:p>
    <w:p>
      <w:pPr>
        <w:spacing w:before="0" w:after="120"/>
        <w:pBdr>
          <w:bottom w:val="single" w:sz="8" w:space="1" w:color="D6DEDD"/>
        </w:pBdr>
      </w:pPr>
    </w:p>
    <w:p>
      <w:pPr>
        <w:spacing w:before="40" w:after="40" w:line="276" w:lineRule="auto"/>
      </w:pPr>
      <w:r>
        <w:rPr>
          <w:rFonts w:ascii="Calibri" w:hAnsi="Calibri"/>
          <w:b w:val="0"/>
          <w:i/>
          <w:color w:val="45565E"/>
          <w:sz w:val="18"/>
        </w:rPr>
        <w:t>Herramienta educativa para Nutrición y Dietética · Documento de presentación (portafolio)</w:t>
      </w:r>
    </w:p>
    <w:p>
      <w:pPr>
        <w:spacing w:before="40" w:after="0" w:line="276" w:lineRule="auto"/>
      </w:pPr>
      <w:r>
        <w:rPr>
          <w:rFonts w:ascii="Calibri" w:hAnsi="Calibri"/>
          <w:b w:val="0"/>
          <w:i w:val="0"/>
          <w:color w:val="45565E"/>
          <w:sz w:val="16"/>
        </w:rPr>
        <w:t>Fuente documental: NMX-22_KDOQI_KDIGO(2)_COMERCIAL_PRE_P19_REPARADO_PRE_P19.xlsx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01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FICHA EJECUTIVA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500"/>
        <w:gridCol w:w="6860"/>
      </w:tblGrid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Producto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NMX-22 · Registro Nutricional para Enfermedad Renal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Fase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Fase 3 · Evaluación y Registro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Categoría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Registro dietético renal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Público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Estudiante de Nutrición y Dietética; Docente; Nutricionista (apoyo clínico profesional)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Objetivo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Registrar la ingesta con enfoque renal y evaluar cobertura y reportes, con trazabilidad y matriz renal específicas.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Entradas principales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Alimentación: Registro alimentario; Clínica: Parámetros/metas renales (CONFIG)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Resultados principales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Reporte de cobertura; Matriz renal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Nivel sugerido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Educativo / apoyo clínico profesional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NO_CONFIRMADO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Formato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.xlsx sin macros (declarado). Incluye hojas internas ocultas (CALCULOS, VALIDACION_RENAL).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02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¿QUÉ ES ESTA HERRAMIENTA?</w:t>
            </w:r>
          </w:p>
        </w:tc>
      </w:tr>
    </w:tbl>
    <w:p>
      <w:pPr>
        <w:spacing w:after="40"/>
      </w:pPr>
    </w:p>
    <w:p>
      <w:pPr>
        <w:spacing w:before="40" w:after="120" w:line="288" w:lineRule="auto"/>
      </w:pPr>
      <w:r>
        <w:rPr>
          <w:rFonts w:ascii="Calibri" w:hAnsi="Calibri"/>
          <w:b w:val="0"/>
          <w:i w:val="0"/>
          <w:color w:val="1A2B33"/>
          <w:sz w:val="21"/>
        </w:rPr>
        <w:t>NMX-22 es un registro nutricional orientado a la enfermedad renal. Sobre la base INTA 2018 evalúa la cobertura de nutrientes con relevancia renal y genera reportes, apoyándose en hojas específicas de trazabilidad y matriz renal. Comparte estructura con NMX-29 (recordatorio 24 h renal) dentro de la Fase 3, con una orientación clínica de apoyo.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22_01_INIC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1. Vista inicial (hoja INICIO).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03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OBJETIVO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Objetivo general</w:t>
      </w:r>
    </w:p>
    <w:p>
      <w:pPr>
        <w:spacing w:before="40" w:after="120" w:line="276" w:lineRule="auto"/>
      </w:pPr>
      <w:r>
        <w:rPr>
          <w:rFonts w:ascii="Calibri" w:hAnsi="Calibri"/>
          <w:b w:val="0"/>
          <w:i w:val="0"/>
          <w:color w:val="1A2B33"/>
          <w:sz w:val="21"/>
        </w:rPr>
        <w:t>Registrar la ingesta con enfoque renal y evaluar cobertura y reportes, con trazabilidad y matriz renal específicas.</w:t>
      </w: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Objetivos específicos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Ingresar el registro alimentario con enfoque renal.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Revisar cobertura y reportes de nutrientes críticos.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Consultar la trazabilidad y la matriz renal.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04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PÚBLICO OBJETIVO · ¿PARA QUÉ SIRVE?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Público objetivo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Estudiante de Nutrición y Dietética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Docente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Nutricionista (apoyo clínico profesional)</w:t>
      </w:r>
    </w:p>
    <w:p>
      <w:pPr>
        <w:spacing w:before="8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Población de referencia (según el libro)</w:t>
      </w:r>
    </w:p>
    <w:p>
      <w:pPr>
        <w:spacing w:before="40" w:after="120" w:line="276" w:lineRule="auto"/>
      </w:pPr>
      <w:r>
        <w:rPr>
          <w:rFonts w:ascii="Calibri" w:hAnsi="Calibri"/>
          <w:b w:val="0"/>
          <w:i w:val="0"/>
          <w:color w:val="1A2B33"/>
          <w:sz w:val="21"/>
        </w:rPr>
        <w:t>Enfoque renal; base INTA 2018 con cobertura crítica para uso renal.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05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FUNCIONES PRINCIPALES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1500"/>
        <w:gridCol w:w="2500"/>
        <w:gridCol w:w="2000"/>
        <w:gridCol w:w="2160"/>
        <w:gridCol w:w="1200"/>
      </w:tblGrid>
      <w:tr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Función</w:t>
            </w:r>
          </w:p>
        </w:tc>
        <w:tc>
          <w:tcPr>
            <w:tcW w:type="dxa" w:w="2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Qué hace</w:t>
            </w:r>
          </w:p>
        </w:tc>
        <w:tc>
          <w:tcPr>
            <w:tcW w:type="dxa" w:w="2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Datos necesarios</w:t>
            </w:r>
          </w:p>
        </w:tc>
        <w:tc>
          <w:tcPr>
            <w:tcW w:type="dxa" w:w="21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  <w:tc>
          <w:tcPr>
            <w:tcW w:type="dxa" w:w="12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Nivel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Registro renal</w:t>
            </w:r>
          </w:p>
        </w:tc>
        <w:tc>
          <w:tcPr>
            <w:tcW w:type="dxa" w:w="2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Captura la ingesta con enfoque renal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Alimentos y cantidades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Registro renal</w:t>
            </w:r>
          </w:p>
        </w:tc>
        <w:tc>
          <w:tcPr>
            <w:tcW w:type="dxa" w:w="1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Intermedio</w:t>
            </w:r>
          </w:p>
        </w:tc>
      </w:tr>
      <w:tr>
        <w:tc>
          <w:tcPr>
            <w:tcW w:type="dxa" w:w="1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Cobertura y reportes</w:t>
            </w:r>
          </w:p>
        </w:tc>
        <w:tc>
          <w:tcPr>
            <w:tcW w:type="dxa" w:w="2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Evalúa nutrientes críticos renales</w:t>
            </w:r>
          </w:p>
        </w:tc>
        <w:tc>
          <w:tcPr>
            <w:tcW w:type="dxa" w:w="2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Registro</w:t>
            </w:r>
          </w:p>
        </w:tc>
        <w:tc>
          <w:tcPr>
            <w:tcW w:type="dxa" w:w="21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Reporte de cobertura</w:t>
            </w:r>
          </w:p>
        </w:tc>
        <w:tc>
          <w:tcPr>
            <w:tcW w:type="dxa" w:w="12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Intermedio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Matriz renal</w:t>
            </w:r>
          </w:p>
        </w:tc>
        <w:tc>
          <w:tcPr>
            <w:tcW w:type="dxa" w:w="2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Clasifica alimentos según relevancia renal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Base INTA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Matriz renal</w:t>
            </w:r>
          </w:p>
        </w:tc>
        <w:tc>
          <w:tcPr>
            <w:tcW w:type="dxa" w:w="1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Avanzado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06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VARIABLES DE ENTRADA</w:t>
            </w:r>
          </w:p>
        </w:tc>
      </w:tr>
    </w:tbl>
    <w:p>
      <w:pPr>
        <w:spacing w:after="40"/>
      </w:pPr>
    </w:p>
    <w:p>
      <w:pPr>
        <w:spacing w:before="60" w:after="20" w:line="276" w:lineRule="auto"/>
      </w:pPr>
      <w:r>
        <w:rPr>
          <w:rFonts w:ascii="Calibri" w:hAnsi="Calibri"/>
          <w:b/>
          <w:i w:val="0"/>
          <w:color w:val="0A3E3A"/>
          <w:sz w:val="20"/>
        </w:rPr>
        <w:t>Alimentación</w:t>
      </w:r>
    </w:p>
    <w:p>
      <w:pPr>
        <w:spacing w:before="40" w:after="60" w:line="276" w:lineRule="auto"/>
      </w:pPr>
      <w:r>
        <w:rPr>
          <w:rFonts w:ascii="Calibri" w:hAnsi="Calibri"/>
          <w:b w:val="0"/>
          <w:i w:val="0"/>
          <w:color w:val="1A2B33"/>
          <w:sz w:val="19"/>
        </w:rPr>
        <w:t>Registro alimentario</w:t>
      </w:r>
    </w:p>
    <w:p>
      <w:pPr>
        <w:spacing w:before="60" w:after="20" w:line="276" w:lineRule="auto"/>
      </w:pPr>
      <w:r>
        <w:rPr>
          <w:rFonts w:ascii="Calibri" w:hAnsi="Calibri"/>
          <w:b/>
          <w:i w:val="0"/>
          <w:color w:val="0A3E3A"/>
          <w:sz w:val="20"/>
        </w:rPr>
        <w:t>Clínica</w:t>
      </w:r>
    </w:p>
    <w:p>
      <w:pPr>
        <w:spacing w:before="40" w:after="60" w:line="276" w:lineRule="auto"/>
      </w:pPr>
      <w:r>
        <w:rPr>
          <w:rFonts w:ascii="Calibri" w:hAnsi="Calibri"/>
          <w:b w:val="0"/>
          <w:i w:val="0"/>
          <w:color w:val="1A2B33"/>
          <w:sz w:val="19"/>
        </w:rPr>
        <w:t>Parámetros/metas renales (CONFIG)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22_03_ENTRADA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2. Pantalla de ingreso de datos.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07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RESULTADOS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3000"/>
        <w:gridCol w:w="1700"/>
        <w:gridCol w:w="1560"/>
        <w:gridCol w:w="3100"/>
      </w:tblGrid>
      <w:tr>
        <w:tc>
          <w:tcPr>
            <w:tcW w:type="dxa" w:w="3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  <w:tc>
          <w:tcPr>
            <w:tcW w:type="dxa" w:w="1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15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Unidad</w:t>
            </w:r>
          </w:p>
        </w:tc>
        <w:tc>
          <w:tcPr>
            <w:tcW w:type="dxa" w:w="31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Dependencia de entradas</w:t>
            </w:r>
          </w:p>
        </w:tc>
      </w:tr>
      <w:tr>
        <w:tc>
          <w:tcPr>
            <w:tcW w:type="dxa" w:w="3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Reporte de cobertura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INFORME</w:t>
            </w:r>
          </w:p>
        </w:tc>
        <w:tc>
          <w:tcPr>
            <w:tcW w:type="dxa" w:w="15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por nutriente</w:t>
            </w:r>
          </w:p>
        </w:tc>
        <w:tc>
          <w:tcPr>
            <w:tcW w:type="dxa" w:w="31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Depende del registro</w:t>
            </w:r>
          </w:p>
        </w:tc>
      </w:tr>
      <w:tr>
        <w:tc>
          <w:tcPr>
            <w:tcW w:type="dxa" w:w="3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Matriz renal</w:t>
            </w:r>
          </w:p>
        </w:tc>
        <w:tc>
          <w:tcPr>
            <w:tcW w:type="dxa" w:w="17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REGISTRO</w:t>
            </w:r>
          </w:p>
        </w:tc>
        <w:tc>
          <w:tcPr>
            <w:tcW w:type="dxa" w:w="15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clasificación</w:t>
            </w:r>
          </w:p>
        </w:tc>
        <w:tc>
          <w:tcPr>
            <w:tcW w:type="dxa" w:w="31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Depende de la base</w:t>
            </w:r>
          </w:p>
        </w:tc>
      </w:tr>
    </w:tbl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22_05_RESULTADOS_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3. Visualización de resultados.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08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FLUJO REAL DE USO · MAPA DE HOJAS</w:t>
            </w:r>
          </w:p>
        </w:tc>
      </w:tr>
    </w:tbl>
    <w:p>
      <w:pPr>
        <w:spacing w:after="40"/>
      </w:pPr>
    </w:p>
    <w:p>
      <w:pPr>
        <w:spacing w:before="40" w:after="60" w:line="276" w:lineRule="auto"/>
      </w:pPr>
      <w:r>
        <w:rPr>
          <w:rFonts w:ascii="Calibri" w:hAnsi="Calibri"/>
          <w:b/>
          <w:i w:val="0"/>
          <w:color w:val="0A3E3A"/>
          <w:sz w:val="20"/>
        </w:rPr>
        <w:t>Flujo de uso (según la navegación del libro)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40" w:type="dxa"/>
          <w:bottom w:w="40" w:type="dxa"/>
          <w:left w:w="40" w:type="dxa"/>
          <w:right w:w="40" w:type="dxa"/>
        </w:tblCellMar>
      </w:tblPr>
      <w:tblGrid>
        <w:gridCol w:w="776"/>
        <w:gridCol w:w="776"/>
        <w:gridCol w:w="776"/>
        <w:gridCol w:w="776"/>
        <w:gridCol w:w="776"/>
        <w:gridCol w:w="776"/>
        <w:gridCol w:w="776"/>
        <w:gridCol w:w="776"/>
        <w:gridCol w:w="776"/>
        <w:gridCol w:w="776"/>
        <w:gridCol w:w="776"/>
        <w:gridCol w:w="776"/>
        <w:gridCol w:w="776"/>
      </w:tblGrid>
      <w:tr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INICIO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DATOS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REGISTRO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ALIMENTOS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RESULTADOS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TRAZABILIDAD_RENAL/MATRIZ_RENAL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FUENTES</w:t>
            </w:r>
          </w:p>
        </w:tc>
      </w:tr>
    </w:tbl>
    <w:p>
      <w:pPr>
        <w:spacing w:before="40" w:after="80" w:line="276" w:lineRule="auto"/>
      </w:pPr>
    </w:p>
    <w:p>
      <w:pPr>
        <w:spacing w:before="80" w:after="60" w:line="276" w:lineRule="auto"/>
      </w:pPr>
      <w:r>
        <w:rPr>
          <w:rFonts w:ascii="Calibri" w:hAnsi="Calibri"/>
          <w:b/>
          <w:i w:val="0"/>
          <w:color w:val="0A3E3A"/>
          <w:sz w:val="20"/>
        </w:rPr>
        <w:t>Mapa de hojas para el comprador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3600"/>
        <w:gridCol w:w="5760"/>
      </w:tblGrid>
      <w:tr>
        <w:tc>
          <w:tcPr>
            <w:tcW w:type="dxa" w:w="3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Hoja</w:t>
            </w:r>
          </w:p>
        </w:tc>
        <w:tc>
          <w:tcPr>
            <w:tcW w:type="dxa" w:w="57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Rol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INICIO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INTERFAZ_USUARIO</w:t>
            </w:r>
          </w:p>
        </w:tc>
      </w:tr>
      <w:tr>
        <w:tc>
          <w:tcPr>
            <w:tcW w:type="dxa" w:w="3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REGISTRO</w:t>
            </w:r>
          </w:p>
        </w:tc>
        <w:tc>
          <w:tcPr>
            <w:tcW w:type="dxa" w:w="5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ENTRADA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RESULTADOS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RESULTADOS</w:t>
            </w:r>
          </w:p>
        </w:tc>
      </w:tr>
      <w:tr>
        <w:tc>
          <w:tcPr>
            <w:tcW w:type="dxa" w:w="3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FUENTES</w:t>
            </w:r>
          </w:p>
        </w:tc>
        <w:tc>
          <w:tcPr>
            <w:tcW w:type="dxa" w:w="5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FUENTES</w:t>
            </w:r>
          </w:p>
        </w:tc>
      </w:tr>
    </w:tbl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22_08_FUEN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4. Fuentes y trazabilidad.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09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ARQUITECTURA TÉCNICA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1A2B33"/>
          <w:sz w:val="20"/>
        </w:rPr>
        <w:t>El libro contiene 13 hojas (8 visibles y 5 ocultas o auxiliares). Incorpora aproximadamente 331 fórmulas, 2 gráficos, 0 tablas estructuradas y 13 validaciones de datos.</w:t>
      </w: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45565E"/>
          <w:sz w:val="19"/>
        </w:rPr>
        <w:t>El producto puede incluir hojas internas de cálculo, configuración, validación o control de calidad (por ejemplo CALCULOS, CONFIG, PRUEBAS o CHANGELOG). Estas hojas sostienen el motor y la trazabilidad, y no requieren manipulación por parte del usuario final.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10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EJEMPLO DE USO (CASO FICTICIO)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/>
          <w:color w:val="45565E"/>
          <w:sz w:val="18"/>
        </w:rPr>
        <w:t>Caso ilustrativo y ficticio. No corresponde a una persona real.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400"/>
        <w:gridCol w:w="6960"/>
      </w:tblGrid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Entrada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Registro ficticio de ingesta en contexto renal.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Proceso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Se ingresa el registro alimentario.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Resultado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El libro evalúa cobertura de nutrientes críticos y arma el reporte.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Interpretación educativa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El profesional interpreta la cobertura según la situación clínica.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11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CAPTURAS DEL PRODUCTO</w:t>
            </w:r>
          </w:p>
        </w:tc>
      </w:tr>
    </w:tbl>
    <w:p>
      <w:pPr>
        <w:spacing w:after="40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22_09_DATOS_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5. Pantalla de ingreso de datos.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22_03_ENTRADA_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6. Pantalla de ingreso de datos.</w:t>
      </w:r>
    </w:p>
    <w:p>
      <w:pPr>
        <w:spacing w:after="120"/>
        <w:jc w:val="center"/>
      </w:pPr>
      <w:r>
        <w:rPr>
          <w:rFonts w:ascii="Calibri" w:hAnsi="Calibri"/>
          <w:i/>
          <w:color w:val="45565E"/>
          <w:sz w:val="15"/>
        </w:rPr>
        <w:t>Captura real del archivo Excel NUTRIMETRÍA correspondiente al producto.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12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METODOLOGÍA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1500"/>
        <w:gridCol w:w="2600"/>
        <w:gridCol w:w="1500"/>
        <w:gridCol w:w="1760"/>
        <w:gridCol w:w="2000"/>
      </w:tblGrid>
      <w:tr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2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Elemento</w:t>
            </w:r>
          </w:p>
        </w:tc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Población</w:t>
            </w:r>
          </w:p>
        </w:tc>
        <w:tc>
          <w:tcPr>
            <w:tcW w:type="dxa" w:w="17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Aplicación</w:t>
            </w:r>
          </w:p>
        </w:tc>
        <w:tc>
          <w:tcPr>
            <w:tcW w:type="dxa" w:w="2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Limitación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CRITERIO</w:t>
            </w:r>
          </w:p>
        </w:tc>
        <w:tc>
          <w:tcPr>
            <w:tcW w:type="dxa" w:w="2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Registro con enfoque renal y cobertura crítica</w:t>
            </w:r>
          </w:p>
        </w:tc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Renal</w:t>
            </w:r>
          </w:p>
        </w:tc>
        <w:tc>
          <w:tcPr>
            <w:tcW w:type="dxa" w:w="1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Reportes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Requiere interpretación profesional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13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FUENTES PRINCIPALES · TRAZABILIDAD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2200"/>
        <w:gridCol w:w="2600"/>
        <w:gridCol w:w="700"/>
        <w:gridCol w:w="2160"/>
        <w:gridCol w:w="1700"/>
      </w:tblGrid>
      <w:tr>
        <w:tc>
          <w:tcPr>
            <w:tcW w:type="dxa" w:w="22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Institución / autor</w:t>
            </w:r>
          </w:p>
        </w:tc>
        <w:tc>
          <w:tcPr>
            <w:tcW w:type="dxa" w:w="2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Documento</w:t>
            </w:r>
          </w:p>
        </w:tc>
        <w:tc>
          <w:tcPr>
            <w:tcW w:type="dxa" w:w="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Año</w:t>
            </w:r>
          </w:p>
        </w:tc>
        <w:tc>
          <w:tcPr>
            <w:tcW w:type="dxa" w:w="21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Uso dentro del NMX</w:t>
            </w:r>
          </w:p>
        </w:tc>
        <w:tc>
          <w:tcPr>
            <w:tcW w:type="dxa" w:w="1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Tipo</w:t>
            </w:r>
          </w:p>
        </w:tc>
      </w:tr>
      <w:tr>
        <w:tc>
          <w:tcPr>
            <w:tcW w:type="dxa" w:w="2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INTA, Universidad de Chile</w:t>
            </w:r>
          </w:p>
        </w:tc>
        <w:tc>
          <w:tcPr>
            <w:tcW w:type="dxa" w:w="2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Tabla de Composición de Alimentos</w:t>
            </w:r>
          </w:p>
        </w:tc>
        <w:tc>
          <w:tcPr>
            <w:tcW w:type="dxa" w:w="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2018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Base alimentaria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FUENTE_PRIMARIA</w:t>
            </w:r>
          </w:p>
        </w:tc>
      </w:tr>
    </w:tbl>
    <w:p>
      <w:pPr>
        <w:spacing w:before="60" w:after="80" w:line="276" w:lineRule="auto"/>
      </w:pPr>
      <w:r>
        <w:rPr>
          <w:rFonts w:ascii="Calibri" w:hAnsi="Calibri"/>
          <w:b w:val="0"/>
          <w:i/>
          <w:color w:val="45565E"/>
          <w:sz w:val="17"/>
        </w:rPr>
        <w:t>Las fuentes se citan como referencia. No se reproducen tablas, figuras ni textos completos protegidos. Cuando el libro lo indica, la base alimentaria (INTA 2018) es de uso personal y no se redistribuye.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14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LIMITACIONES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1A2B33"/>
          <w:sz w:val="20"/>
        </w:rPr>
        <w:t>Enfoque renal de apoyo; la interpretación clínica corresponde al profesional. La cobertura depende de la base INTA. No sustituye guías clínicas ni el juicio del equipo tratante.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15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ADVERTENCIAS Y CONTROL DE CALIDAD</w:t>
            </w:r>
          </w:p>
        </w:tc>
      </w:tr>
    </w:tbl>
    <w:p>
      <w:pPr>
        <w:spacing w:after="40"/>
      </w:pP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Uso educativo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Apoyo clínico profesional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No reemplaza el juicio profesional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No utilizar como único criterio diagnóstico</w:t>
      </w:r>
    </w:p>
    <w:p>
      <w:pPr>
        <w:spacing w:before="80" w:after="80" w:line="276" w:lineRule="auto"/>
      </w:pPr>
      <w:r>
        <w:rPr>
          <w:rFonts w:ascii="Calibri" w:hAnsi="Calibri"/>
          <w:b w:val="0"/>
          <w:i/>
          <w:color w:val="45565E"/>
          <w:sz w:val="19"/>
        </w:rPr>
        <w:t>Esta herramienta forma parte de la suite NUTRIMETRÍA y ha sido sometida a procesos de auditoría matemática, funcional, estructural y documental cuando dicha condición está respaldada por la versión analizada. No se declara validación clínica ni exactitud del 100 %.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16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PRODUCTOS RELACIONADOS · VERSIONADO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0"/>
        </w:rPr>
        <w:t>Productos relacionados dentro de la suite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NMX-29 · Recordatorio de 24 Horas Renal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NMX-42 · Explorador Renal de Alimentos y Equivalentes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NMX-13 · Recordatorio de 24 Horas (con catálogo PAL, NMX-01)</w:t>
      </w:r>
    </w:p>
    <w:p>
      <w:pPr>
        <w:spacing w:before="80" w:after="40" w:line="276" w:lineRule="auto"/>
      </w:pPr>
      <w:r>
        <w:rPr>
          <w:rFonts w:ascii="Calibri" w:hAnsi="Calibri"/>
          <w:b/>
          <w:i w:val="0"/>
          <w:color w:val="0A3E3A"/>
          <w:sz w:val="20"/>
        </w:rPr>
        <w:t>Versionado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600"/>
        <w:gridCol w:w="6760"/>
      </w:tblGrid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Producto_ID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NMX-22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Archivo analizado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NMX-22_KDOQI_KDIGO(2)_COMERCIAL_PRE_P19_REPARADO_PRE_P19.xlsx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 visible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NO_CONFIRMADO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Estado documental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PRE_P19 (estado documental declarado en el nombre del archivo)</w:t>
            </w:r>
          </w:p>
        </w:tc>
      </w:tr>
    </w:tbl>
    <w:p>
      <w:r>
        <w:br w:type="page"/>
      </w:r>
    </w:p>
    <w:p>
      <w:pPr>
        <w:spacing w:before="40" w:after="80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260" w:type="dxa"/>
          <w:bottom w:w="260" w:type="dxa"/>
          <w:left w:w="220" w:type="dxa"/>
          <w:right w:w="2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A3E3A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52"/>
              </w:rPr>
              <w:t>NUTRIMETRÍA</w:t>
            </w:r>
          </w:p>
          <w:p>
            <w:pPr>
              <w:spacing w:before="120" w:after="0"/>
              <w:jc w:val="center"/>
            </w:pPr>
            <w:r>
              <w:rPr>
                <w:rFonts w:ascii="Calibri" w:hAnsi="Calibri"/>
                <w:b/>
                <w:i w:val="0"/>
                <w:color w:val="EDF2F1"/>
                <w:sz w:val="24"/>
              </w:rPr>
              <w:t>NMX-22 · Registro Nutricional para Enfermedad Renal</w:t>
            </w:r>
          </w:p>
          <w:p>
            <w:pPr>
              <w:spacing w:before="80" w:after="0"/>
              <w:jc w:val="center"/>
            </w:pPr>
            <w:r>
              <w:rPr>
                <w:rFonts w:ascii="Calibri" w:hAnsi="Calibri"/>
                <w:b w:val="0"/>
                <w:i w:val="0"/>
                <w:color w:val="EDF2F1"/>
                <w:sz w:val="20"/>
              </w:rPr>
              <w:t>Fase 3 · Evaluación y Registro · NO_CONFIRMADO · 2026</w:t>
            </w:r>
          </w:p>
        </w:tc>
      </w:tr>
    </w:tbl>
    <w:p>
      <w:pPr>
        <w:spacing w:before="40" w:after="280" w:line="276" w:lineRule="auto"/>
      </w:pPr>
    </w:p>
    <w:p>
      <w:pPr>
        <w:spacing w:before="40" w:after="120" w:line="276" w:lineRule="auto"/>
        <w:jc w:val="center"/>
      </w:pPr>
      <w:r>
        <w:rPr>
          <w:rFonts w:ascii="Calibri" w:hAnsi="Calibri"/>
          <w:b/>
          <w:i w:val="0"/>
          <w:color w:val="0F5A54"/>
          <w:sz w:val="24"/>
        </w:rPr>
        <w:t>Herramienta educativa para Nutrición y Dietética</w:t>
      </w:r>
    </w:p>
    <w:p>
      <w:pPr>
        <w:spacing w:before="40" w:after="80" w:line="276" w:lineRule="auto"/>
        <w:jc w:val="center"/>
      </w:pPr>
      <w:r>
        <w:rPr>
          <w:rFonts w:ascii="Calibri" w:hAnsi="Calibri"/>
          <w:b w:val="0"/>
          <w:i/>
          <w:color w:val="45565E"/>
          <w:sz w:val="19"/>
        </w:rPr>
        <w:t>Suite NUTRIMETRÍA — orden, trazabilidad, aprendizaje, metodología, automatización y usabilidad.</w:t>
      </w:r>
    </w:p>
    <w:sectPr w:rsidR="00FC693F" w:rsidRPr="0006063C" w:rsidSect="00034616">
      <w:footerReference w:type="default" r:id="rId9"/>
      <w:pgSz w:w="12240" w:h="15840"/>
      <w:pgMar w:top="907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tabs>
        <w:tab w:val="center" w:pos="4680"/>
        <w:tab w:val="right" w:pos="9360"/>
      </w:tabs>
    </w:pPr>
    <w:r>
      <w:rPr>
        <w:rFonts w:ascii="Calibri" w:hAnsi="Calibri"/>
        <w:b/>
        <w:i w:val="0"/>
        <w:color w:val="0F5A54"/>
        <w:sz w:val="16"/>
      </w:rPr>
      <w:t>NUTRIMETRÍA</w:t>
    </w:r>
    <w:r>
      <w:rPr>
        <w:rFonts w:ascii="Calibri" w:hAnsi="Calibri"/>
        <w:b w:val="0"/>
        <w:i w:val="0"/>
        <w:color w:val="45565E"/>
        <w:sz w:val="16"/>
      </w:rPr>
      <w:tab/>
      <w:t>NMX-22 · Registro Nutricional para Enfermedad Renal</w:t>
    </w:r>
    <w:r>
      <w:rPr>
        <w:rFonts w:ascii="Calibri" w:hAnsi="Calibri"/>
        <w:b w:val="0"/>
        <w:i w:val="0"/>
        <w:color w:val="45565E"/>
        <w:sz w:val="16"/>
      </w:rPr>
      <w:tab/>
      <w:t xml:space="preserve">Pág. </w:t>
    </w:r>
    <w:fldSimple w:instr="PAGE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B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