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20" w:type="dxa"/>
          <w:bottom w:w="220" w:type="dxa"/>
          <w:left w:w="200" w:type="dxa"/>
          <w:right w:w="20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60"/>
              </w:rPr>
              <w:t>NUTRIMETRÍA</w:t>
            </w:r>
          </w:p>
          <w:p>
            <w:pPr>
              <w:spacing w:before="40" w:after="0"/>
            </w:pPr>
            <w:r>
              <w:rPr>
                <w:rFonts w:ascii="Calibri" w:hAnsi="Calibri"/>
                <w:b w:val="0"/>
                <w:i w:val="0"/>
                <w:color w:val="EDF2F1"/>
                <w:sz w:val="22"/>
              </w:rPr>
              <w:t>Suite de herramientas para Nutrición y Dietética</w:t>
            </w:r>
          </w:p>
        </w:tc>
      </w:tr>
    </w:tbl>
    <w:p>
      <w:pPr>
        <w:spacing w:before="40" w:after="200" w:line="276" w:lineRule="auto"/>
      </w:pPr>
    </w:p>
    <w:p>
      <w:pPr>
        <w:spacing w:before="0" w:after="280"/>
        <w:pBdr>
          <w:bottom w:val="single" w:sz="8" w:space="1" w:color="C08A2B"/>
        </w:pBdr>
      </w:pPr>
    </w:p>
    <w:p>
      <w:pPr>
        <w:spacing w:before="120" w:after="40" w:line="276" w:lineRule="auto"/>
        <w:jc w:val="left"/>
      </w:pPr>
      <w:r>
        <w:rPr>
          <w:rFonts w:ascii="Calibri" w:hAnsi="Calibri"/>
          <w:b/>
          <w:i w:val="0"/>
          <w:color w:val="0F5A54"/>
          <w:sz w:val="80"/>
        </w:rPr>
        <w:t>NMX-29</w:t>
      </w:r>
    </w:p>
    <w:p>
      <w:pPr>
        <w:spacing w:before="0" w:after="160" w:line="252" w:lineRule="auto"/>
      </w:pPr>
      <w:r>
        <w:rPr>
          <w:rFonts w:ascii="Calibri" w:hAnsi="Calibri"/>
          <w:b/>
          <w:i w:val="0"/>
          <w:color w:val="1A2B33"/>
          <w:sz w:val="38"/>
        </w:rPr>
        <w:t>Recordatorio de 24 Horas Renal</w:t>
      </w:r>
    </w:p>
    <w:p>
      <w:pPr>
        <w:spacing w:before="4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700"/>
        <w:gridCol w:w="6660"/>
      </w:tblGrid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3 · Evaluación y Registro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Evaluación dietética renal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Año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2026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  <w:tr>
        <w:tc>
          <w:tcPr>
            <w:tcW w:type="dxa" w:w="27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6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(declarado). Incluye hojas internas ocultas (CALCULOS, VALIDACION_RENAL).</w:t>
            </w:r>
          </w:p>
        </w:tc>
      </w:tr>
    </w:tbl>
    <w:p>
      <w:pPr>
        <w:spacing w:before="40" w:after="160" w:line="276" w:lineRule="auto"/>
      </w:pPr>
    </w:p>
    <w:p>
      <w:pPr>
        <w:spacing w:before="0" w:after="120"/>
        <w:pBdr>
          <w:bottom w:val="single" w:sz="8" w:space="1" w:color="D6DEDD"/>
        </w:pBdr>
      </w:pPr>
    </w:p>
    <w:p>
      <w:pPr>
        <w:spacing w:before="40" w:after="40" w:line="276" w:lineRule="auto"/>
      </w:pPr>
      <w:r>
        <w:rPr>
          <w:rFonts w:ascii="Calibri" w:hAnsi="Calibri"/>
          <w:b w:val="0"/>
          <w:i/>
          <w:color w:val="45565E"/>
          <w:sz w:val="18"/>
        </w:rPr>
        <w:t>Herramienta educativa para Nutrición y Dietética · Documento de presentación (portafolio)</w:t>
      </w:r>
    </w:p>
    <w:p>
      <w:pPr>
        <w:spacing w:before="40" w:after="0" w:line="276" w:lineRule="auto"/>
      </w:pPr>
      <w:r>
        <w:rPr>
          <w:rFonts w:ascii="Calibri" w:hAnsi="Calibri"/>
          <w:b w:val="0"/>
          <w:i w:val="0"/>
          <w:color w:val="45565E"/>
          <w:sz w:val="16"/>
        </w:rPr>
        <w:t>Fuente documental: NMX-29_KDOQI_KDIGO(2)_COMERCIAL_PRE_P19_REPARADO_PRE_P19.xlsx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FICHA EJECUTIVA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500"/>
        <w:gridCol w:w="6860"/>
      </w:tblGrid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NMX-29 · Recordatorio de 24 Horas Renal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Fase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Fase 3 · Evaluación y Registro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Categoría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Evaluación dietética renal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Público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Estudiante de Nutrición y Dietética; Docente; Nutricionista (apoyo clínico profesional)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Objetivo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Aplicar el recordatorio de 24 h por pasos múltiples con enfoque renal, evaluando cobertura de nutrientes críticos con trazabilidad y matriz renal.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Alimentación: Ingesta de 24 h (pasos múltiples); Clínica: Metas/parámetros renales (CONFIG)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Resultados principales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Reporte de cobertura; Matriz renal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Nivel sugerido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Educativo / apoyo clínico profesional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5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Formato</w:t>
            </w:r>
          </w:p>
        </w:tc>
        <w:tc>
          <w:tcPr>
            <w:tcW w:type="dxa" w:w="68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.xlsx sin macros (declarado). Incluye hojas internas ocultas (CALCULOS, VALIDACION_RENAL).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¿QUÉ ES ESTA HERRAMIENTA?</w:t>
            </w:r>
          </w:p>
        </w:tc>
      </w:tr>
    </w:tbl>
    <w:p>
      <w:pPr>
        <w:spacing w:after="40"/>
      </w:pPr>
    </w:p>
    <w:p>
      <w:pPr>
        <w:spacing w:before="40" w:after="120" w:line="288" w:lineRule="auto"/>
      </w:pPr>
      <w:r>
        <w:rPr>
          <w:rFonts w:ascii="Calibri" w:hAnsi="Calibri"/>
          <w:b w:val="0"/>
          <w:i w:val="0"/>
          <w:color w:val="1A2B33"/>
          <w:sz w:val="21"/>
        </w:rPr>
        <w:t>NMX-29 es el recordatorio de 24 horas en su variante renal, con metodología de pasos múltiples. Sobre la base INTA 2018 evalúa la cobertura de nutrientes con relevancia renal y aporta hojas de trazabilidad y matriz renal. Es la contraparte 'recordatorio' de NMX-22 (registro renal) dentro de la Fase 3, con orientación clínica de apoyo.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9_01_INICIO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1. Vista inicial (hoja INICIO).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OBJETIVO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 general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Aplicar el recordatorio de 24 h por pasos múltiples con enfoque renal, evaluando cobertura de nutrientes críticos con trazabilidad y matriz renal.</w:t>
      </w: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Objetivos específicos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Registrar la ingesta de 24 h por pasos múltiples.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Evaluar cobertura de nutrientes críticos renales.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Consultar trazabilidad y matriz renal.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PÚBLICO OBJETIVO · ¿PARA QUÉ SIRVE?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Público objetivo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Estudiante de Nutrición y Dietética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Docente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Nutricionista (apoyo clínico profesional)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1"/>
        </w:rPr>
        <w:t>Población de referencia (según el libro)</w:t>
      </w:r>
    </w:p>
    <w:p>
      <w:pPr>
        <w:spacing w:before="40" w:after="120" w:line="276" w:lineRule="auto"/>
      </w:pPr>
      <w:r>
        <w:rPr>
          <w:rFonts w:ascii="Calibri" w:hAnsi="Calibri"/>
          <w:b w:val="0"/>
          <w:i w:val="0"/>
          <w:color w:val="1A2B33"/>
          <w:sz w:val="21"/>
        </w:rPr>
        <w:t>Enfoque renal; base INTA 2018 con cobertura crítica para uso renal.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FUNCIONES PRINCIPALES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500"/>
        <w:gridCol w:w="2000"/>
        <w:gridCol w:w="2160"/>
        <w:gridCol w:w="12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Función</w:t>
            </w:r>
          </w:p>
        </w:tc>
        <w:tc>
          <w:tcPr>
            <w:tcW w:type="dxa" w:w="2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Qué hace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Datos necesarios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Nivel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Recordatorio por pasos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Registra la ingesta de 24 h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Alimentos y cantidades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Ingesta registrada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  <w:tr>
        <w:tc>
          <w:tcPr>
            <w:tcW w:type="dxa" w:w="1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Cobertura renal</w:t>
            </w:r>
          </w:p>
        </w:tc>
        <w:tc>
          <w:tcPr>
            <w:tcW w:type="dxa" w:w="25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Evalúa nutrientes críticos</w:t>
            </w:r>
          </w:p>
        </w:tc>
        <w:tc>
          <w:tcPr>
            <w:tcW w:type="dxa" w:w="2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Ingesta</w:t>
            </w:r>
          </w:p>
        </w:tc>
        <w:tc>
          <w:tcPr>
            <w:tcW w:type="dxa" w:w="21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Reporte de cobertura</w:t>
            </w:r>
          </w:p>
        </w:tc>
        <w:tc>
          <w:tcPr>
            <w:tcW w:type="dxa" w:w="12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Intermedio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Matriz renal</w:t>
            </w:r>
          </w:p>
        </w:tc>
        <w:tc>
          <w:tcPr>
            <w:tcW w:type="dxa" w:w="2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Clasifica alimentos por relevancia renal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Base INTA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Matriz renal</w:t>
            </w:r>
          </w:p>
        </w:tc>
        <w:tc>
          <w:tcPr>
            <w:tcW w:type="dxa" w:w="1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Avanzado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VARIABLES DE ENTRADA</w:t>
            </w:r>
          </w:p>
        </w:tc>
      </w:tr>
    </w:tbl>
    <w:p>
      <w:pPr>
        <w:spacing w:after="40"/>
      </w:pP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Alimentación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Ingesta de 24 h (pasos múltiples)</w:t>
      </w:r>
    </w:p>
    <w:p>
      <w:pPr>
        <w:spacing w:before="60" w:after="20" w:line="276" w:lineRule="auto"/>
      </w:pPr>
      <w:r>
        <w:rPr>
          <w:rFonts w:ascii="Calibri" w:hAnsi="Calibri"/>
          <w:b/>
          <w:i w:val="0"/>
          <w:color w:val="0A3E3A"/>
          <w:sz w:val="20"/>
        </w:rPr>
        <w:t>Clínica</w:t>
      </w:r>
    </w:p>
    <w:p>
      <w:pPr>
        <w:spacing w:before="40" w:after="60" w:line="276" w:lineRule="auto"/>
      </w:pPr>
      <w:r>
        <w:rPr>
          <w:rFonts w:ascii="Calibri" w:hAnsi="Calibri"/>
          <w:b w:val="0"/>
          <w:i w:val="0"/>
          <w:color w:val="1A2B33"/>
          <w:sz w:val="19"/>
        </w:rPr>
        <w:t>Metas/parámetros renales (CONFIG)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9_09_DA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2. Pantalla de ingreso de datos.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07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RESULTADOS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000"/>
        <w:gridCol w:w="1700"/>
        <w:gridCol w:w="1560"/>
        <w:gridCol w:w="3100"/>
      </w:tblGrid>
      <w:tr>
        <w:tc>
          <w:tcPr>
            <w:tcW w:type="dxa" w:w="3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Resultado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15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Unidad</w:t>
            </w:r>
          </w:p>
        </w:tc>
        <w:tc>
          <w:tcPr>
            <w:tcW w:type="dxa" w:w="31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Dependencia de entradas</w:t>
            </w:r>
          </w:p>
        </w:tc>
      </w:tr>
      <w:tr>
        <w:tc>
          <w:tcPr>
            <w:tcW w:type="dxa" w:w="3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Reporte de cobertura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INFORME</w:t>
            </w:r>
          </w:p>
        </w:tc>
        <w:tc>
          <w:tcPr>
            <w:tcW w:type="dxa" w:w="15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por nutriente</w:t>
            </w:r>
          </w:p>
        </w:tc>
        <w:tc>
          <w:tcPr>
            <w:tcW w:type="dxa" w:w="31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 la ingesta</w:t>
            </w:r>
          </w:p>
        </w:tc>
      </w:tr>
      <w:tr>
        <w:tc>
          <w:tcPr>
            <w:tcW w:type="dxa" w:w="30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Matriz renal</w:t>
            </w:r>
          </w:p>
        </w:tc>
        <w:tc>
          <w:tcPr>
            <w:tcW w:type="dxa" w:w="17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REGISTRO</w:t>
            </w:r>
          </w:p>
        </w:tc>
        <w:tc>
          <w:tcPr>
            <w:tcW w:type="dxa" w:w="15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clasificación</w:t>
            </w:r>
          </w:p>
        </w:tc>
        <w:tc>
          <w:tcPr>
            <w:tcW w:type="dxa" w:w="31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Depende de la base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9_05_RESULTADOS_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3. Visualización de resultados.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08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FLUJO REAL DE USO · MAPA DE HOJAS</w:t>
            </w:r>
          </w:p>
        </w:tc>
      </w:tr>
    </w:tbl>
    <w:p>
      <w:pPr>
        <w:spacing w:after="40"/>
      </w:pPr>
    </w:p>
    <w:p>
      <w:pPr>
        <w:spacing w:before="4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Flujo de uso (según la navegación del libro)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40" w:type="dxa"/>
          <w:bottom w:w="40" w:type="dxa"/>
          <w:left w:w="40" w:type="dxa"/>
          <w:right w:w="40" w:type="dxa"/>
        </w:tblCellMar>
      </w:tblPr>
      <w:tblGrid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  <w:gridCol w:w="776"/>
      </w:tblGrid>
      <w:tr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INICIO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DATOS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RECORDATORIO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ALIMENTOS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RESULTADOS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TRAZABILIDAD_RENAL/MATRIZ_RENAL</w:t>
            </w:r>
          </w:p>
        </w:tc>
        <w:tc>
          <w:tcPr>
            <w:tcW w:type="dxa" w:w="77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8A2B"/>
                <w:sz w:val="18"/>
              </w:rPr>
              <w:t>→</w:t>
            </w:r>
          </w:p>
        </w:tc>
        <w:tc>
          <w:tcPr>
            <w:tcW w:type="dxa" w:w="776"/>
            <w:shd w:val="clear" w:color="auto" w:fill="EDF2F1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A3E3A"/>
                <w:sz w:val="15"/>
              </w:rPr>
              <w:t>FUENTES</w:t>
            </w:r>
          </w:p>
        </w:tc>
      </w:tr>
    </w:tbl>
    <w:p>
      <w:pPr>
        <w:spacing w:before="40" w:after="80" w:line="276" w:lineRule="auto"/>
      </w:pPr>
    </w:p>
    <w:p>
      <w:pPr>
        <w:spacing w:before="80" w:after="60" w:line="276" w:lineRule="auto"/>
      </w:pPr>
      <w:r>
        <w:rPr>
          <w:rFonts w:ascii="Calibri" w:hAnsi="Calibri"/>
          <w:b/>
          <w:i w:val="0"/>
          <w:color w:val="0A3E3A"/>
          <w:sz w:val="20"/>
        </w:rPr>
        <w:t>Mapa de hojas para el comprador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3600"/>
        <w:gridCol w:w="5760"/>
      </w:tblGrid>
      <w:tr>
        <w:tc>
          <w:tcPr>
            <w:tcW w:type="dxa" w:w="3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Hoja</w:t>
            </w:r>
          </w:p>
        </w:tc>
        <w:tc>
          <w:tcPr>
            <w:tcW w:type="dxa" w:w="5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Rol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INICIO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INTERFAZ_USUARIO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RECORDATORIO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ENTRADA</w:t>
            </w:r>
          </w:p>
        </w:tc>
      </w:tr>
      <w:tr>
        <w:tc>
          <w:tcPr>
            <w:tcW w:type="dxa" w:w="3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  <w:tc>
          <w:tcPr>
            <w:tcW w:type="dxa" w:w="5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RESULTADOS</w:t>
            </w:r>
          </w:p>
        </w:tc>
      </w:tr>
      <w:tr>
        <w:tc>
          <w:tcPr>
            <w:tcW w:type="dxa" w:w="360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  <w:tc>
          <w:tcPr>
            <w:tcW w:type="dxa" w:w="5760"/>
            <w:shd w:val="clear" w:color="auto" w:fill="F6F8F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FUENTES</w:t>
            </w:r>
          </w:p>
        </w:tc>
      </w:tr>
    </w:tbl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9_08_FUEN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4. Fuentes y trazabilidad.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09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ARQUITECTURA TÉCNICA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El libro contiene 13 hojas (8 visibles y 5 ocultas o auxiliares). Incorpora aproximadamente 348 fórmulas, 2 gráficos, 0 tablas estructuradas y 15 validaciones de datos.</w:t>
      </w: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45565E"/>
          <w:sz w:val="19"/>
        </w:rPr>
        <w:t>El producto puede incluir hojas internas de cálculo, configuración, validación o control de calidad (por ejemplo CALCULOS, CONFIG, PRUEBAS o CHANGELOG). Estas hojas sostienen el motor y la trazabilidad, y no requieren manipulación por parte del usuario final.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10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EJEMPLO DE USO (CASO FICTICIO)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/>
          <w:color w:val="45565E"/>
          <w:sz w:val="18"/>
        </w:rPr>
        <w:t>Caso ilustrativo y ficticio. No corresponde a una persona real.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400"/>
        <w:gridCol w:w="6960"/>
      </w:tblGrid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Entrada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Recordatorio ficticio de 24 h en contexto renal.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Proceso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Se registra la ingesta por pasos múltiples.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Resultado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El libro evalúa cobertura de nutrientes críticos renales.</w:t>
            </w:r>
          </w:p>
        </w:tc>
      </w:tr>
      <w:tr>
        <w:tc>
          <w:tcPr>
            <w:tcW w:type="dxa" w:w="24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Interpretación educativa</w:t>
            </w:r>
          </w:p>
        </w:tc>
        <w:tc>
          <w:tcPr>
            <w:tcW w:type="dxa" w:w="69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El profesional interpreta el reporte según la situación clínica.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11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CAPTURAS DEL PRODUCTO</w:t>
            </w:r>
          </w:p>
        </w:tc>
      </w:tr>
    </w:tbl>
    <w:p>
      <w:pPr>
        <w:spacing w:after="40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9_01_INICIO_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5. Vista inicial (hoja INICIO).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MX-29_05_RESULTADOS_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/>
          <w:color w:val="45565E"/>
          <w:sz w:val="17"/>
        </w:rPr>
        <w:t>Figura 6. Visualización de resultados.</w:t>
      </w:r>
    </w:p>
    <w:p>
      <w:pPr>
        <w:spacing w:after="120"/>
        <w:jc w:val="center"/>
      </w:pPr>
      <w:r>
        <w:rPr>
          <w:rFonts w:ascii="Calibri" w:hAnsi="Calibri"/>
          <w:i/>
          <w:color w:val="45565E"/>
          <w:sz w:val="15"/>
        </w:rPr>
        <w:t>Captura real del archivo Excel NUTRIMETRÍA correspondiente al producto.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12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METODOLOGÍA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1500"/>
        <w:gridCol w:w="2600"/>
        <w:gridCol w:w="1500"/>
        <w:gridCol w:w="1760"/>
        <w:gridCol w:w="2000"/>
      </w:tblGrid>
      <w:tr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Elemento</w:t>
            </w:r>
          </w:p>
        </w:tc>
        <w:tc>
          <w:tcPr>
            <w:tcW w:type="dxa" w:w="15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Población</w:t>
            </w:r>
          </w:p>
        </w:tc>
        <w:tc>
          <w:tcPr>
            <w:tcW w:type="dxa" w:w="17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Aplicación</w:t>
            </w:r>
          </w:p>
        </w:tc>
        <w:tc>
          <w:tcPr>
            <w:tcW w:type="dxa" w:w="20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Limitación</w:t>
            </w:r>
          </w:p>
        </w:tc>
      </w:tr>
      <w:tr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CRITERIO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Recordatorio 24 h de pasos múltiples, enfoque renal</w:t>
            </w:r>
          </w:p>
        </w:tc>
        <w:tc>
          <w:tcPr>
            <w:tcW w:type="dxa" w:w="15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Renal</w:t>
            </w:r>
          </w:p>
        </w:tc>
        <w:tc>
          <w:tcPr>
            <w:tcW w:type="dxa" w:w="1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Evaluación dietética</w:t>
            </w:r>
          </w:p>
        </w:tc>
        <w:tc>
          <w:tcPr>
            <w:tcW w:type="dxa" w:w="20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8"/>
              </w:rPr>
              <w:t>Requiere interpretación profesional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13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FUENTES PRINCIPALES · TRAZABILIDAD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50" w:type="dxa"/>
          <w:bottom w:w="50" w:type="dxa"/>
          <w:left w:w="90" w:type="dxa"/>
          <w:right w:w="90" w:type="dxa"/>
        </w:tblCellMar>
        <w:tblW w:w="9360" w:type="dxa"/>
      </w:tblPr>
      <w:tblGrid>
        <w:gridCol w:w="2200"/>
        <w:gridCol w:w="2600"/>
        <w:gridCol w:w="700"/>
        <w:gridCol w:w="2160"/>
        <w:gridCol w:w="1700"/>
      </w:tblGrid>
      <w:tr>
        <w:tc>
          <w:tcPr>
            <w:tcW w:type="dxa" w:w="22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Institución / autor</w:t>
            </w:r>
          </w:p>
        </w:tc>
        <w:tc>
          <w:tcPr>
            <w:tcW w:type="dxa" w:w="26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Documento</w:t>
            </w:r>
          </w:p>
        </w:tc>
        <w:tc>
          <w:tcPr>
            <w:tcW w:type="dxa" w:w="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Año</w:t>
            </w:r>
          </w:p>
        </w:tc>
        <w:tc>
          <w:tcPr>
            <w:tcW w:type="dxa" w:w="216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Uso dentro del NMX</w:t>
            </w:r>
          </w:p>
        </w:tc>
        <w:tc>
          <w:tcPr>
            <w:tcW w:type="dxa" w:w="1700"/>
            <w:shd w:val="clear" w:color="auto" w:fill="0F5A54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Tipo</w:t>
            </w:r>
          </w:p>
        </w:tc>
      </w:tr>
      <w:tr>
        <w:tc>
          <w:tcPr>
            <w:tcW w:type="dxa" w:w="22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INTA, Universidad de Chile</w:t>
            </w:r>
          </w:p>
        </w:tc>
        <w:tc>
          <w:tcPr>
            <w:tcW w:type="dxa" w:w="26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Tabla de Composición de Alimentos</w:t>
            </w:r>
          </w:p>
        </w:tc>
        <w:tc>
          <w:tcPr>
            <w:tcW w:type="dxa" w:w="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2018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Base alimentaria</w:t>
            </w:r>
          </w:p>
        </w:tc>
        <w:tc>
          <w:tcPr>
            <w:tcW w:type="dxa" w:w="170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7"/>
              </w:rPr>
              <w:t>FUENTE_PRIMARIA</w:t>
            </w:r>
          </w:p>
        </w:tc>
      </w:tr>
    </w:tbl>
    <w:p>
      <w:pPr>
        <w:spacing w:before="60" w:after="80" w:line="276" w:lineRule="auto"/>
      </w:pPr>
      <w:r>
        <w:rPr>
          <w:rFonts w:ascii="Calibri" w:hAnsi="Calibri"/>
          <w:b w:val="0"/>
          <w:i/>
          <w:color w:val="45565E"/>
          <w:sz w:val="17"/>
        </w:rPr>
        <w:t>Las fuentes se citan como referencia. No se reproducen tablas, figuras ni textos completos protegidos. Cuando el libro lo indica, la base alimentaria (INTA 2018) es de uso personal y no se redistribuye.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14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LIMITACIONES</w:t>
            </w:r>
          </w:p>
        </w:tc>
      </w:tr>
    </w:tbl>
    <w:p>
      <w:pPr>
        <w:spacing w:after="40"/>
      </w:pPr>
    </w:p>
    <w:p>
      <w:pPr>
        <w:spacing w:before="40" w:after="80" w:line="276" w:lineRule="auto"/>
      </w:pPr>
      <w:r>
        <w:rPr>
          <w:rFonts w:ascii="Calibri" w:hAnsi="Calibri"/>
          <w:b w:val="0"/>
          <w:i w:val="0"/>
          <w:color w:val="1A2B33"/>
          <w:sz w:val="20"/>
        </w:rPr>
        <w:t>Depende del recuerdo del sujeto y del enfoque renal aplicado. La interpretación clínica corresponde al profesional. Base INTA de distribución autorizada.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15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ADVERTENCIAS Y CONTROL DE CALIDAD</w:t>
            </w:r>
          </w:p>
        </w:tc>
      </w:tr>
    </w:tbl>
    <w:p>
      <w:pPr>
        <w:spacing w:after="40"/>
      </w:pP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Uso educativo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Apoyo clínico profesional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No reemplaza el juicio profesional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No utilizar como único criterio diagnóstico</w:t>
      </w:r>
    </w:p>
    <w:p>
      <w:pPr>
        <w:spacing w:before="80" w:after="80" w:line="276" w:lineRule="auto"/>
      </w:pPr>
      <w:r>
        <w:rPr>
          <w:rFonts w:ascii="Calibri" w:hAnsi="Calibri"/>
          <w:b w:val="0"/>
          <w:i/>
          <w:color w:val="45565E"/>
          <w:sz w:val="19"/>
        </w:rPr>
        <w:t>Esta herramienta forma parte de la suite NUTRIMETRÍA y ha sido sometida a procesos de auditoría matemática, funcional, estructural y documental cuando dicha condición está respaldada por la versión analizada. No se declara validación clínica ni exactitud del 100 %.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CellMar>
          <w:top w:w="70" w:type="dxa"/>
          <w:bottom w:w="70" w:type="dxa"/>
          <w:left w:w="160" w:type="dxa"/>
          <w:right w:w="1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F5A5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C08A2B"/>
                <w:sz w:val="25"/>
              </w:rPr>
              <w:t xml:space="preserve">16   </w:t>
            </w: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PRODUCTOS RELACIONADOS · VERSIONADO</w:t>
            </w:r>
          </w:p>
        </w:tc>
      </w:tr>
    </w:tbl>
    <w:p>
      <w:pPr>
        <w:spacing w:after="40"/>
      </w:pPr>
    </w:p>
    <w:p>
      <w:pPr>
        <w:spacing w:before="4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Productos relacionados dentro de la suite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NMX-22 · Registro Nutricional para Enfermedad Renal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NMX-42 · Explorador Renal de Alimentos y Equivalentes</w:t>
      </w:r>
    </w:p>
    <w:p>
      <w:pPr>
        <w:spacing w:before="20" w:after="60"/>
        <w:ind w:left="340" w:hanging="198"/>
      </w:pPr>
      <w:r>
        <w:rPr>
          <w:rFonts w:ascii="Calibri" w:hAnsi="Calibri"/>
          <w:b/>
          <w:i w:val="0"/>
          <w:color w:val="0F5A54"/>
          <w:sz w:val="19"/>
        </w:rPr>
        <w:t xml:space="preserve">▪  </w:t>
      </w:r>
      <w:r>
        <w:rPr>
          <w:rFonts w:ascii="Calibri" w:hAnsi="Calibri"/>
          <w:b w:val="0"/>
          <w:i w:val="0"/>
          <w:color w:val="1A2B33"/>
          <w:sz w:val="20"/>
        </w:rPr>
        <w:t>NMX-13 · Recordatorio de 24 Horas (con catálogo PAL, NMX-01)</w:t>
      </w:r>
    </w:p>
    <w:p>
      <w:pPr>
        <w:spacing w:before="80" w:after="40" w:line="276" w:lineRule="auto"/>
      </w:pPr>
      <w:r>
        <w:rPr>
          <w:rFonts w:ascii="Calibri" w:hAnsi="Calibri"/>
          <w:b/>
          <w:i w:val="0"/>
          <w:color w:val="0A3E3A"/>
          <w:sz w:val="20"/>
        </w:rPr>
        <w:t>Versionado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DD"/>
          <w:left w:val="single" w:sz="4" w:space="0" w:color="D6DEDD"/>
          <w:bottom w:val="single" w:sz="4" w:space="0" w:color="D6DEDD"/>
          <w:right w:val="single" w:sz="4" w:space="0" w:color="D6DEDD"/>
          <w:insideH w:val="single" w:sz="4" w:space="0" w:color="D6DEDD"/>
          <w:insideV w:val="single" w:sz="4" w:space="0" w:color="D6DEDD"/>
        </w:tblBorders>
        <w:tblLayout w:type="fixed"/>
        <w:tblCellMar>
          <w:top w:w="60" w:type="dxa"/>
          <w:bottom w:w="60" w:type="dxa"/>
          <w:left w:w="100" w:type="dxa"/>
          <w:right w:w="100" w:type="dxa"/>
        </w:tblCellMar>
        <w:tblW w:w="9360" w:type="dxa"/>
      </w:tblPr>
      <w:tblGrid>
        <w:gridCol w:w="2600"/>
        <w:gridCol w:w="6760"/>
      </w:tblGrid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Producto_ID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NMX-29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Archivo analizado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NMX-29_KDOQI_KDIGO(2)_COMERCIAL_PRE_P19_REPARADO_PRE_P19.xlsx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Versión visible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NO_CONFIRMADO</w:t>
            </w:r>
          </w:p>
        </w:tc>
      </w:tr>
      <w:tr>
        <w:tc>
          <w:tcPr>
            <w:tcW w:type="dxa" w:w="2600"/>
            <w:shd w:val="clear" w:color="auto" w:fill="EDF2F1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0A3E3A"/>
                <w:sz w:val="19"/>
              </w:rPr>
              <w:t>Estado documental</w:t>
            </w:r>
          </w:p>
        </w:tc>
        <w:tc>
          <w:tcPr>
            <w:tcW w:type="dxa" w:w="676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2B33"/>
                <w:sz w:val="19"/>
              </w:rPr>
              <w:t>PRE_P19 (estado documental declarado en el nombre del archivo)</w:t>
            </w:r>
          </w:p>
        </w:tc>
      </w:tr>
    </w:tbl>
    <w:p>
      <w:r>
        <w:br w:type="page"/>
      </w:r>
    </w:p>
    <w:p>
      <w:pPr>
        <w:spacing w:before="40" w:after="80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260" w:type="dxa"/>
          <w:bottom w:w="260" w:type="dxa"/>
          <w:left w:w="220" w:type="dxa"/>
          <w:right w:w="220" w:type="dxa"/>
        </w:tblCellMar>
        <w:tblW w:w="9360" w:type="dxa"/>
      </w:tblPr>
      <w:tblGrid>
        <w:gridCol w:w="10086"/>
      </w:tblGrid>
      <w:tr>
        <w:tc>
          <w:tcPr>
            <w:tcW w:type="dxa" w:w="10086"/>
            <w:shd w:val="clear" w:color="auto" w:fill="0A3E3A"/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52"/>
              </w:rPr>
              <w:t>NUTRIMETRÍA</w:t>
            </w:r>
          </w:p>
          <w:p>
            <w:pPr>
              <w:spacing w:before="120" w:after="0"/>
              <w:jc w:val="center"/>
            </w:pPr>
            <w:r>
              <w:rPr>
                <w:rFonts w:ascii="Calibri" w:hAnsi="Calibri"/>
                <w:b/>
                <w:i w:val="0"/>
                <w:color w:val="EDF2F1"/>
                <w:sz w:val="24"/>
              </w:rPr>
              <w:t>NMX-29 · Recordatorio de 24 Horas Renal</w:t>
            </w:r>
          </w:p>
          <w:p>
            <w:pPr>
              <w:spacing w:before="80" w:after="0"/>
              <w:jc w:val="center"/>
            </w:pPr>
            <w:r>
              <w:rPr>
                <w:rFonts w:ascii="Calibri" w:hAnsi="Calibri"/>
                <w:b w:val="0"/>
                <w:i w:val="0"/>
                <w:color w:val="EDF2F1"/>
                <w:sz w:val="20"/>
              </w:rPr>
              <w:t>Fase 3 · Evaluación y Registro · NO_CONFIRMADO · 2026</w:t>
            </w:r>
          </w:p>
        </w:tc>
      </w:tr>
    </w:tbl>
    <w:p>
      <w:pPr>
        <w:spacing w:before="40" w:after="280" w:line="276" w:lineRule="auto"/>
      </w:pPr>
    </w:p>
    <w:p>
      <w:pPr>
        <w:spacing w:before="40" w:after="120" w:line="276" w:lineRule="auto"/>
        <w:jc w:val="center"/>
      </w:pPr>
      <w:r>
        <w:rPr>
          <w:rFonts w:ascii="Calibri" w:hAnsi="Calibri"/>
          <w:b/>
          <w:i w:val="0"/>
          <w:color w:val="0F5A54"/>
          <w:sz w:val="24"/>
        </w:rPr>
        <w:t>Herramienta educativa para Nutrición y Dietética</w:t>
      </w:r>
    </w:p>
    <w:p>
      <w:pPr>
        <w:spacing w:before="40" w:after="80" w:line="276" w:lineRule="auto"/>
        <w:jc w:val="center"/>
      </w:pPr>
      <w:r>
        <w:rPr>
          <w:rFonts w:ascii="Calibri" w:hAnsi="Calibri"/>
          <w:b w:val="0"/>
          <w:i/>
          <w:color w:val="45565E"/>
          <w:sz w:val="19"/>
        </w:rPr>
        <w:t>Suite NUTRIMETRÍA — orden, trazabilidad, aprendizaje, metodología, automatización y usabilidad.</w:t>
      </w:r>
    </w:p>
    <w:sectPr w:rsidR="00FC693F" w:rsidRPr="0006063C" w:rsidSect="00034616">
      <w:footerReference w:type="default" r:id="rId9"/>
      <w:pgSz w:w="12240" w:h="15840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tabs>
        <w:tab w:val="center" w:pos="4680"/>
        <w:tab w:val="right" w:pos="9360"/>
      </w:tabs>
    </w:pPr>
    <w:r>
      <w:rPr>
        <w:rFonts w:ascii="Calibri" w:hAnsi="Calibri"/>
        <w:b/>
        <w:i w:val="0"/>
        <w:color w:val="0F5A54"/>
        <w:sz w:val="16"/>
      </w:rPr>
      <w:t>NUTRIMETRÍA</w:t>
    </w:r>
    <w:r>
      <w:rPr>
        <w:rFonts w:ascii="Calibri" w:hAnsi="Calibri"/>
        <w:b w:val="0"/>
        <w:i w:val="0"/>
        <w:color w:val="45565E"/>
        <w:sz w:val="16"/>
      </w:rPr>
      <w:tab/>
      <w:t>NMX-29 · Recordatorio de 24 Horas Renal</w:t>
    </w:r>
    <w:r>
      <w:rPr>
        <w:rFonts w:ascii="Calibri" w:hAnsi="Calibri"/>
        <w:b w:val="0"/>
        <w:i w:val="0"/>
        <w:color w:val="45565E"/>
        <w:sz w:val="16"/>
      </w:rPr>
      <w:tab/>
      <w:t xml:space="preserve">Pág.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B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