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220" w:type="dxa"/>
          <w:bottom w:w="220" w:type="dxa"/>
          <w:left w:w="200" w:type="dxa"/>
          <w:right w:w="20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A3E3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60"/>
              </w:rPr>
              <w:t>NUTRIMETRÍA</w:t>
            </w:r>
          </w:p>
          <w:p>
            <w:pPr>
              <w:spacing w:before="40" w:after="0"/>
            </w:pPr>
            <w:r>
              <w:rPr>
                <w:rFonts w:ascii="Calibri" w:hAnsi="Calibri"/>
                <w:b w:val="0"/>
                <w:i w:val="0"/>
                <w:color w:val="EDF2F1"/>
                <w:sz w:val="22"/>
              </w:rPr>
              <w:t>Suite de herramientas para Nutrición y Dietética</w:t>
            </w:r>
          </w:p>
        </w:tc>
      </w:tr>
    </w:tbl>
    <w:p>
      <w:pPr>
        <w:spacing w:before="40" w:after="200" w:line="276" w:lineRule="auto"/>
      </w:pPr>
    </w:p>
    <w:p>
      <w:pPr>
        <w:spacing w:before="0" w:after="280"/>
        <w:pBdr>
          <w:bottom w:val="single" w:sz="8" w:space="1" w:color="C08A2B"/>
        </w:pBdr>
      </w:pPr>
    </w:p>
    <w:p>
      <w:pPr>
        <w:spacing w:before="120" w:after="40" w:line="276" w:lineRule="auto"/>
        <w:jc w:val="left"/>
      </w:pPr>
      <w:r>
        <w:rPr>
          <w:rFonts w:ascii="Calibri" w:hAnsi="Calibri"/>
          <w:b/>
          <w:i w:val="0"/>
          <w:color w:val="0F5A54"/>
          <w:sz w:val="80"/>
        </w:rPr>
        <w:t>NMX-43</w:t>
      </w:r>
    </w:p>
    <w:p>
      <w:pPr>
        <w:spacing w:before="0" w:after="160" w:line="252" w:lineRule="auto"/>
      </w:pPr>
      <w:r>
        <w:rPr>
          <w:rFonts w:ascii="Calibri" w:hAnsi="Calibri"/>
          <w:b/>
          <w:i w:val="0"/>
          <w:color w:val="1A2B33"/>
          <w:sz w:val="38"/>
        </w:rPr>
        <w:t>Biblioteca UDD y Banco Clínico-Formativo (Bases de la Nutrición I y II)</w:t>
      </w:r>
    </w:p>
    <w:p>
      <w:pPr>
        <w:spacing w:before="40" w:after="12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700"/>
        <w:gridCol w:w="6660"/>
      </w:tblGrid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Fase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Fase 2 · Bases y Bibliotecas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Categoría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Biblioteca de nutrientes y banco de casos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v1.2.0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Año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2026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Estado documental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PRE_P19 (estado documental declarado en el nombre del archivo)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Formato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.xlsx (declarado). Estructura extensa (45 hojas, 28 tablas); incluye hojas internas ocultas.</w:t>
            </w:r>
          </w:p>
        </w:tc>
      </w:tr>
    </w:tbl>
    <w:p>
      <w:pPr>
        <w:spacing w:before="40" w:after="160" w:line="276" w:lineRule="auto"/>
      </w:pPr>
    </w:p>
    <w:p>
      <w:pPr>
        <w:spacing w:before="0" w:after="120"/>
        <w:pBdr>
          <w:bottom w:val="single" w:sz="8" w:space="1" w:color="D6DEDD"/>
        </w:pBdr>
      </w:pPr>
    </w:p>
    <w:p>
      <w:pPr>
        <w:spacing w:before="40" w:after="40" w:line="276" w:lineRule="auto"/>
      </w:pPr>
      <w:r>
        <w:rPr>
          <w:rFonts w:ascii="Calibri" w:hAnsi="Calibri"/>
          <w:b w:val="0"/>
          <w:i/>
          <w:color w:val="45565E"/>
          <w:sz w:val="18"/>
        </w:rPr>
        <w:t>Herramienta educativa para Nutrición y Dietética · Documento de presentación (portafolio)</w:t>
      </w:r>
    </w:p>
    <w:p>
      <w:pPr>
        <w:spacing w:before="40" w:after="0" w:line="276" w:lineRule="auto"/>
      </w:pPr>
      <w:r>
        <w:rPr>
          <w:rFonts w:ascii="Calibri" w:hAnsi="Calibri"/>
          <w:b w:val="0"/>
          <w:i w:val="0"/>
          <w:color w:val="45565E"/>
          <w:sz w:val="16"/>
        </w:rPr>
        <w:t>Fuente documental: NMX-43_BIBLIOTECA_UDD_v1_2_0_CASOS_69(3)_COMERCIAL_PRE_P19_REPARADO_PRE_P19.xlsx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01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FICHA EJECUTIVA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500"/>
        <w:gridCol w:w="6860"/>
      </w:tblGrid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Producto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NMX-43 · Biblioteca UDD y Banco Clínico-Formativo (Bases de la Nutrición I y II)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Fase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Fase 2 · Bases y Bibliotecas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Categoría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Biblioteca de nutrientes y banco de casos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Público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Estudiante de Nutrición y Dietética; Docente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Objetivo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Servir de biblioteca de nutrientes (energía, macros, IG/CG, agua/fibra, biomarcadores, interacciones) y banco de 69 casos clínico-formativos por micronutriente.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Entradas principales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Selecciones / listas desplegables: Nutriente, Nivel de caso (básico/intermedio/avanzado), Alimento y gramaje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Resultados principales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Fichas de nutrientes (23); Banco de 69 casos; Ranking por alimento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Nivel sugerido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Educativo / apoyo académico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v1.2.0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Formato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.xlsx (declarado). Estructura extensa (45 hojas, 28 tablas); incluye hojas internas ocultas.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02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¿QUÉ ES ESTA HERRAMIENTA?</w:t>
            </w:r>
          </w:p>
        </w:tc>
      </w:tr>
    </w:tbl>
    <w:p>
      <w:pPr>
        <w:spacing w:after="40"/>
      </w:pPr>
    </w:p>
    <w:p>
      <w:pPr>
        <w:spacing w:before="40" w:after="120" w:line="288" w:lineRule="auto"/>
      </w:pPr>
      <w:r>
        <w:rPr>
          <w:rFonts w:ascii="Calibri" w:hAnsi="Calibri"/>
          <w:b w:val="0"/>
          <w:i w:val="0"/>
          <w:color w:val="1A2B33"/>
          <w:sz w:val="21"/>
        </w:rPr>
        <w:t>NMX-43 es un portafolio académico de Bases de la Nutrición: reúne 23 micronutrientes con fichas de nutriente, fuentes alimentarias (con selección por gramaje y ranking por 100 g sobre base INTA), índice/carga glicémica, agua y fibra, biomarcadores, interacciones y requerimientos. Su núcleo formativo es un banco de 69 casos (uno básico, uno intermedio y uno avanzado por micronutriente) con una matriz de cobertura 69/69. Los casos son educativos: no representan diagnóstico ni tratamiento. Es la biblioteca más extensa de la Fase 2 (45 hojas).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43_01_INICI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1. Vista inicial (hoja INICIO).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03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OBJETIVO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Objetivo general</w:t>
      </w:r>
    </w:p>
    <w:p>
      <w:pPr>
        <w:spacing w:before="40" w:after="120" w:line="276" w:lineRule="auto"/>
      </w:pPr>
      <w:r>
        <w:rPr>
          <w:rFonts w:ascii="Calibri" w:hAnsi="Calibri"/>
          <w:b w:val="0"/>
          <w:i w:val="0"/>
          <w:color w:val="1A2B33"/>
          <w:sz w:val="21"/>
        </w:rPr>
        <w:t>Servir de biblioteca de nutrientes (energía, macros, IG/CG, agua/fibra, biomarcadores, interacciones) y banco de 69 casos clínico-formativos por micronutriente.</w:t>
      </w: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Objetivos específicos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Consultar fichas por nutriente y sus fuentes alimentarias (INTA).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Seleccionar nutriente y nivel en CASOS_CLÍNICOS (matriz 69/69).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Estudiar interacciones, biomarcadores y requerimientos.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04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PÚBLICO OBJETIVO · ¿PARA QUÉ SIRVE?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Público objetivo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Estudiante de Nutrición y Dietética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Docente</w:t>
      </w:r>
    </w:p>
    <w:p>
      <w:pPr>
        <w:spacing w:before="8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Población de referencia (según el libro)</w:t>
      </w:r>
    </w:p>
    <w:p>
      <w:pPr>
        <w:spacing w:before="40" w:after="120" w:line="276" w:lineRule="auto"/>
      </w:pPr>
      <w:r>
        <w:rPr>
          <w:rFonts w:ascii="Calibri" w:hAnsi="Calibri"/>
          <w:b w:val="0"/>
          <w:i w:val="0"/>
          <w:color w:val="1A2B33"/>
          <w:sz w:val="21"/>
        </w:rPr>
        <w:t>Formativa; 23 micronutrientes y 69 casos educativos (básico/intermedio/avanzado por micronutriente).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05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FUNCIONES PRINCIPALES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1500"/>
        <w:gridCol w:w="2500"/>
        <w:gridCol w:w="2000"/>
        <w:gridCol w:w="2160"/>
        <w:gridCol w:w="1200"/>
      </w:tblGrid>
      <w:tr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Función</w:t>
            </w:r>
          </w:p>
        </w:tc>
        <w:tc>
          <w:tcPr>
            <w:tcW w:type="dxa" w:w="2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Qué hace</w:t>
            </w:r>
          </w:p>
        </w:tc>
        <w:tc>
          <w:tcPr>
            <w:tcW w:type="dxa" w:w="2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Datos necesarios</w:t>
            </w:r>
          </w:p>
        </w:tc>
        <w:tc>
          <w:tcPr>
            <w:tcW w:type="dxa" w:w="21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Resultado</w:t>
            </w:r>
          </w:p>
        </w:tc>
        <w:tc>
          <w:tcPr>
            <w:tcW w:type="dxa" w:w="12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Nivel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Ficha de nutriente</w:t>
            </w:r>
          </w:p>
        </w:tc>
        <w:tc>
          <w:tcPr>
            <w:tcW w:type="dxa" w:w="2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Muestra la ficha de cada micronutriente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Selección de nutriente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Ficha + fuentes alimentarias</w:t>
            </w:r>
          </w:p>
        </w:tc>
        <w:tc>
          <w:tcPr>
            <w:tcW w:type="dxa" w:w="1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Básico</w:t>
            </w:r>
          </w:p>
        </w:tc>
      </w:tr>
      <w:tr>
        <w:tc>
          <w:tcPr>
            <w:tcW w:type="dxa" w:w="1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Banco de casos</w:t>
            </w:r>
          </w:p>
        </w:tc>
        <w:tc>
          <w:tcPr>
            <w:tcW w:type="dxa" w:w="2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Presenta 69 casos formativos por nivel</w:t>
            </w:r>
          </w:p>
        </w:tc>
        <w:tc>
          <w:tcPr>
            <w:tcW w:type="dxa" w:w="20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Nutriente + nivel</w:t>
            </w:r>
          </w:p>
        </w:tc>
        <w:tc>
          <w:tcPr>
            <w:tcW w:type="dxa" w:w="21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Caso educativo estructurado</w:t>
            </w:r>
          </w:p>
        </w:tc>
        <w:tc>
          <w:tcPr>
            <w:tcW w:type="dxa" w:w="12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Intermedio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Ranking alimentario</w:t>
            </w:r>
          </w:p>
        </w:tc>
        <w:tc>
          <w:tcPr>
            <w:tcW w:type="dxa" w:w="2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Ordena alimentos por aporte/100 g (INTA)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Nutriente + gramaje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Ranking y % de referencia</w:t>
            </w:r>
          </w:p>
        </w:tc>
        <w:tc>
          <w:tcPr>
            <w:tcW w:type="dxa" w:w="1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Intermedio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06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VARIABLES DE ENTRADA</w:t>
            </w:r>
          </w:p>
        </w:tc>
      </w:tr>
    </w:tbl>
    <w:p>
      <w:pPr>
        <w:spacing w:after="40"/>
      </w:pPr>
    </w:p>
    <w:p>
      <w:pPr>
        <w:spacing w:before="60" w:after="20" w:line="276" w:lineRule="auto"/>
      </w:pPr>
      <w:r>
        <w:rPr>
          <w:rFonts w:ascii="Calibri" w:hAnsi="Calibri"/>
          <w:b/>
          <w:i w:val="0"/>
          <w:color w:val="0A3E3A"/>
          <w:sz w:val="20"/>
        </w:rPr>
        <w:t>Selecciones / listas desplegables</w:t>
      </w:r>
    </w:p>
    <w:p>
      <w:pPr>
        <w:spacing w:before="40" w:after="60" w:line="276" w:lineRule="auto"/>
      </w:pPr>
      <w:r>
        <w:rPr>
          <w:rFonts w:ascii="Calibri" w:hAnsi="Calibri"/>
          <w:b w:val="0"/>
          <w:i w:val="0"/>
          <w:color w:val="1A2B33"/>
          <w:sz w:val="19"/>
        </w:rPr>
        <w:t>Nutriente, Nivel de caso (básico/intermedio/avanzado), Alimento y gramaje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43_09_DAT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2. Pantalla de ingreso de datos.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07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RESULTADOS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3000"/>
        <w:gridCol w:w="1700"/>
        <w:gridCol w:w="1560"/>
        <w:gridCol w:w="3100"/>
      </w:tblGrid>
      <w:tr>
        <w:tc>
          <w:tcPr>
            <w:tcW w:type="dxa" w:w="3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Resultado</w:t>
            </w:r>
          </w:p>
        </w:tc>
        <w:tc>
          <w:tcPr>
            <w:tcW w:type="dxa" w:w="1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Tipo</w:t>
            </w:r>
          </w:p>
        </w:tc>
        <w:tc>
          <w:tcPr>
            <w:tcW w:type="dxa" w:w="15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Unidad</w:t>
            </w:r>
          </w:p>
        </w:tc>
        <w:tc>
          <w:tcPr>
            <w:tcW w:type="dxa" w:w="31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Dependencia de entradas</w:t>
            </w:r>
          </w:p>
        </w:tc>
      </w:tr>
      <w:tr>
        <w:tc>
          <w:tcPr>
            <w:tcW w:type="dxa" w:w="3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Fichas de nutrientes (23)</w:t>
            </w:r>
          </w:p>
        </w:tc>
        <w:tc>
          <w:tcPr>
            <w:tcW w:type="dxa" w:w="1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REGISTRO</w:t>
            </w:r>
          </w:p>
        </w:tc>
        <w:tc>
          <w:tcPr>
            <w:tcW w:type="dxa" w:w="15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n/a</w:t>
            </w:r>
          </w:p>
        </w:tc>
        <w:tc>
          <w:tcPr>
            <w:tcW w:type="dxa" w:w="31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Selección de nutriente</w:t>
            </w:r>
          </w:p>
        </w:tc>
      </w:tr>
      <w:tr>
        <w:tc>
          <w:tcPr>
            <w:tcW w:type="dxa" w:w="30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Banco de 69 casos</w:t>
            </w:r>
          </w:p>
        </w:tc>
        <w:tc>
          <w:tcPr>
            <w:tcW w:type="dxa" w:w="17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REGISTRO</w:t>
            </w:r>
          </w:p>
        </w:tc>
        <w:tc>
          <w:tcPr>
            <w:tcW w:type="dxa" w:w="15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n/a</w:t>
            </w:r>
          </w:p>
        </w:tc>
        <w:tc>
          <w:tcPr>
            <w:tcW w:type="dxa" w:w="31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Nutriente + nivel</w:t>
            </w:r>
          </w:p>
        </w:tc>
      </w:tr>
      <w:tr>
        <w:tc>
          <w:tcPr>
            <w:tcW w:type="dxa" w:w="3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Ranking por alimento</w:t>
            </w:r>
          </w:p>
        </w:tc>
        <w:tc>
          <w:tcPr>
            <w:tcW w:type="dxa" w:w="1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COMPARACIÓN</w:t>
            </w:r>
          </w:p>
        </w:tc>
        <w:tc>
          <w:tcPr>
            <w:tcW w:type="dxa" w:w="15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aporte/100 g</w:t>
            </w:r>
          </w:p>
        </w:tc>
        <w:tc>
          <w:tcPr>
            <w:tcW w:type="dxa" w:w="31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Depende del nutriente y gramaje</w:t>
            </w:r>
          </w:p>
        </w:tc>
      </w:tr>
    </w:tbl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43_05_RESULTAD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3. Visualización de resultados.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08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FLUJO REAL DE USO · MAPA DE HOJAS</w:t>
            </w:r>
          </w:p>
        </w:tc>
      </w:tr>
    </w:tbl>
    <w:p>
      <w:pPr>
        <w:spacing w:after="40"/>
      </w:pPr>
    </w:p>
    <w:p>
      <w:pPr>
        <w:spacing w:before="40" w:after="60" w:line="276" w:lineRule="auto"/>
      </w:pPr>
      <w:r>
        <w:rPr>
          <w:rFonts w:ascii="Calibri" w:hAnsi="Calibri"/>
          <w:b/>
          <w:i w:val="0"/>
          <w:color w:val="0A3E3A"/>
          <w:sz w:val="20"/>
        </w:rPr>
        <w:t>Flujo de uso (según la navegación del libro)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40" w:type="dxa"/>
          <w:bottom w:w="40" w:type="dxa"/>
          <w:left w:w="40" w:type="dxa"/>
          <w:right w:w="40" w:type="dxa"/>
        </w:tblCellMar>
      </w:tblPr>
      <w:tblGrid>
        <w:gridCol w:w="917"/>
        <w:gridCol w:w="917"/>
        <w:gridCol w:w="917"/>
        <w:gridCol w:w="917"/>
        <w:gridCol w:w="917"/>
        <w:gridCol w:w="917"/>
        <w:gridCol w:w="917"/>
        <w:gridCol w:w="917"/>
        <w:gridCol w:w="917"/>
        <w:gridCol w:w="917"/>
        <w:gridCol w:w="917"/>
      </w:tblGrid>
      <w:tr>
        <w:tc>
          <w:tcPr>
            <w:tcW w:type="dxa" w:w="917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INICIO</w:t>
            </w:r>
          </w:p>
        </w:tc>
        <w:tc>
          <w:tcPr>
            <w:tcW w:type="dxa" w:w="917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917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NUTRIENTES/FICHA_NUTRIENTE</w:t>
            </w:r>
          </w:p>
        </w:tc>
        <w:tc>
          <w:tcPr>
            <w:tcW w:type="dxa" w:w="917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917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FUENTES_ALIMENTARIAS</w:t>
            </w:r>
          </w:p>
        </w:tc>
        <w:tc>
          <w:tcPr>
            <w:tcW w:type="dxa" w:w="917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917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CASOS_CLÍNICOS</w:t>
            </w:r>
          </w:p>
        </w:tc>
        <w:tc>
          <w:tcPr>
            <w:tcW w:type="dxa" w:w="917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917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RESULTADOS</w:t>
            </w:r>
          </w:p>
        </w:tc>
        <w:tc>
          <w:tcPr>
            <w:tcW w:type="dxa" w:w="917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917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FUENTES</w:t>
            </w:r>
          </w:p>
        </w:tc>
      </w:tr>
    </w:tbl>
    <w:p>
      <w:pPr>
        <w:spacing w:before="40" w:after="80" w:line="276" w:lineRule="auto"/>
      </w:pPr>
    </w:p>
    <w:p>
      <w:pPr>
        <w:spacing w:before="80" w:after="60" w:line="276" w:lineRule="auto"/>
      </w:pPr>
      <w:r>
        <w:rPr>
          <w:rFonts w:ascii="Calibri" w:hAnsi="Calibri"/>
          <w:b/>
          <w:i w:val="0"/>
          <w:color w:val="0A3E3A"/>
          <w:sz w:val="20"/>
        </w:rPr>
        <w:t>Mapa de hojas para el comprador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3600"/>
        <w:gridCol w:w="5760"/>
      </w:tblGrid>
      <w:tr>
        <w:tc>
          <w:tcPr>
            <w:tcW w:type="dxa" w:w="3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Hoja</w:t>
            </w:r>
          </w:p>
        </w:tc>
        <w:tc>
          <w:tcPr>
            <w:tcW w:type="dxa" w:w="57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Rol</w:t>
            </w:r>
          </w:p>
        </w:tc>
      </w:tr>
      <w:t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INICIO</w:t>
            </w:r>
          </w:p>
        </w:tc>
        <w:tc>
          <w:tcPr>
            <w:tcW w:type="dxa" w:w="5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INTERFAZ_USUARIO</w:t>
            </w:r>
          </w:p>
        </w:tc>
      </w:tr>
      <w:tr>
        <w:tc>
          <w:tcPr>
            <w:tcW w:type="dxa" w:w="3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FICHA_NUTRIENTE</w:t>
            </w:r>
          </w:p>
        </w:tc>
        <w:tc>
          <w:tcPr>
            <w:tcW w:type="dxa" w:w="57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RESULTADOS</w:t>
            </w:r>
          </w:p>
        </w:tc>
      </w:tr>
      <w:t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CASOS_CLÍNICOS</w:t>
            </w:r>
          </w:p>
        </w:tc>
        <w:tc>
          <w:tcPr>
            <w:tcW w:type="dxa" w:w="5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RESULTADOS</w:t>
            </w:r>
          </w:p>
        </w:tc>
      </w:tr>
      <w:tr>
        <w:tc>
          <w:tcPr>
            <w:tcW w:type="dxa" w:w="3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FUENTES</w:t>
            </w:r>
          </w:p>
        </w:tc>
        <w:tc>
          <w:tcPr>
            <w:tcW w:type="dxa" w:w="57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FUENTES</w:t>
            </w:r>
          </w:p>
        </w:tc>
      </w:tr>
    </w:tbl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43_08_FUEN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4. Fuentes y trazabilidad.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09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ARQUITECTURA TÉCNICA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1A2B33"/>
          <w:sz w:val="20"/>
        </w:rPr>
        <w:t>El libro contiene 45 hojas (36 visibles y 9 ocultas o auxiliares). Incorpora aproximadamente 880 fórmulas, 0 gráficos, 28 tablas estructuradas y 19 validaciones de datos.</w:t>
      </w: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45565E"/>
          <w:sz w:val="19"/>
        </w:rPr>
        <w:t>El producto puede incluir hojas internas de cálculo, configuración, validación o control de calidad (por ejemplo CALCULOS, CONFIG, PRUEBAS o CHANGELOG). Estas hojas sostienen el motor y la trazabilidad, y no requieren manipulación por parte del usuario final.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10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EJEMPLO DE USO (CASO FICTICIO)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/>
          <w:color w:val="45565E"/>
          <w:sz w:val="18"/>
        </w:rPr>
        <w:t>Caso ilustrativo y ficticio. No corresponde a una persona real.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400"/>
        <w:gridCol w:w="6960"/>
      </w:tblGrid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Entrada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Estudiante que estudia el zinc en nivel intermedio.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Proceso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Selecciona 'Zinc' y nivel 'intermedio' en CASOS_CLÍNICOS.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Resultado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Consulta la ficha, las fuentes alimentarias por gramaje y el caso.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Interpretación educativa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Trabaja el caso como ejercicio formativo, no como diagnóstico real.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11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CAPTURAS DEL PRODUCTO</w:t>
            </w:r>
          </w:p>
        </w:tc>
      </w:tr>
    </w:tbl>
    <w:p>
      <w:pPr>
        <w:spacing w:after="40"/>
      </w:pPr>
    </w:p>
    <w:p>
      <w:pPr>
        <w:spacing w:after="120"/>
        <w:jc w:val="center"/>
      </w:pPr>
      <w:r>
        <w:rPr>
          <w:rFonts w:ascii="Calibri" w:hAnsi="Calibri"/>
          <w:i/>
          <w:color w:val="45565E"/>
          <w:sz w:val="15"/>
        </w:rPr>
        <w:t>Las capturas reales del producto se muestran a lo largo de este portafolio. Captura real del archivo Excel NUTRIMETRÍA correspondiente al producto.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12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METODOLOGÍA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1500"/>
        <w:gridCol w:w="2600"/>
        <w:gridCol w:w="1500"/>
        <w:gridCol w:w="1760"/>
        <w:gridCol w:w="2000"/>
      </w:tblGrid>
      <w:tr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Tipo</w:t>
            </w:r>
          </w:p>
        </w:tc>
        <w:tc>
          <w:tcPr>
            <w:tcW w:type="dxa" w:w="2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Elemento</w:t>
            </w:r>
          </w:p>
        </w:tc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Población</w:t>
            </w:r>
          </w:p>
        </w:tc>
        <w:tc>
          <w:tcPr>
            <w:tcW w:type="dxa" w:w="17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Aplicación</w:t>
            </w:r>
          </w:p>
        </w:tc>
        <w:tc>
          <w:tcPr>
            <w:tcW w:type="dxa" w:w="2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Limitación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CRITERIO</w:t>
            </w:r>
          </w:p>
        </w:tc>
        <w:tc>
          <w:tcPr>
            <w:tcW w:type="dxa" w:w="2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23 micronutrientes; 69 casos (3 niveles × 23)</w:t>
            </w:r>
          </w:p>
        </w:tc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Formativa</w:t>
            </w:r>
          </w:p>
        </w:tc>
        <w:tc>
          <w:tcPr>
            <w:tcW w:type="dxa" w:w="1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Cobertura 69/69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Casos educativos, no clínicos</w:t>
            </w:r>
          </w:p>
        </w:tc>
      </w:tr>
      <w:tr>
        <w:tc>
          <w:tcPr>
            <w:tcW w:type="dxa" w:w="1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REGLA DE IMPLEMENTACIÓN</w:t>
            </w:r>
          </w:p>
        </w:tc>
        <w:tc>
          <w:tcPr>
            <w:tcW w:type="dxa" w:w="2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Fuentes alimentarias por gramaje sobre base INTA</w:t>
            </w:r>
          </w:p>
        </w:tc>
        <w:tc>
          <w:tcPr>
            <w:tcW w:type="dxa" w:w="1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Chile</w:t>
            </w:r>
          </w:p>
        </w:tc>
        <w:tc>
          <w:tcPr>
            <w:tcW w:type="dxa" w:w="17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Ranking/adecuación</w:t>
            </w:r>
          </w:p>
        </w:tc>
        <w:tc>
          <w:tcPr>
            <w:tcW w:type="dxa" w:w="20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Uso educativo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13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FUENTES PRINCIPALES · TRAZABILIDAD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2200"/>
        <w:gridCol w:w="2600"/>
        <w:gridCol w:w="700"/>
        <w:gridCol w:w="2160"/>
        <w:gridCol w:w="1700"/>
      </w:tblGrid>
      <w:tr>
        <w:tc>
          <w:tcPr>
            <w:tcW w:type="dxa" w:w="22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Institución / autor</w:t>
            </w:r>
          </w:p>
        </w:tc>
        <w:tc>
          <w:tcPr>
            <w:tcW w:type="dxa" w:w="2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Documento</w:t>
            </w:r>
          </w:p>
        </w:tc>
        <w:tc>
          <w:tcPr>
            <w:tcW w:type="dxa" w:w="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Año</w:t>
            </w:r>
          </w:p>
        </w:tc>
        <w:tc>
          <w:tcPr>
            <w:tcW w:type="dxa" w:w="21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Uso dentro del NMX</w:t>
            </w:r>
          </w:p>
        </w:tc>
        <w:tc>
          <w:tcPr>
            <w:tcW w:type="dxa" w:w="1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Tipo</w:t>
            </w:r>
          </w:p>
        </w:tc>
      </w:tr>
      <w:tr>
        <w:tc>
          <w:tcPr>
            <w:tcW w:type="dxa" w:w="2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INTA (composición) / DRI / literatura de nutrientes</w:t>
            </w:r>
          </w:p>
        </w:tc>
        <w:tc>
          <w:tcPr>
            <w:tcW w:type="dxa" w:w="2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Bases FICHAS_BASE, DRI_BASE, IG_BASE, CASOS_BASE</w:t>
            </w:r>
          </w:p>
        </w:tc>
        <w:tc>
          <w:tcPr>
            <w:tcW w:type="dxa" w:w="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s/f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Fichas, casos y rankings</w:t>
            </w:r>
          </w:p>
        </w:tc>
        <w:tc>
          <w:tcPr>
            <w:tcW w:type="dxa" w:w="1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FUENTE_SECUNDARIA</w:t>
            </w:r>
          </w:p>
        </w:tc>
      </w:tr>
    </w:tbl>
    <w:p>
      <w:pPr>
        <w:spacing w:before="60" w:after="80" w:line="276" w:lineRule="auto"/>
      </w:pPr>
      <w:r>
        <w:rPr>
          <w:rFonts w:ascii="Calibri" w:hAnsi="Calibri"/>
          <w:b w:val="0"/>
          <w:i/>
          <w:color w:val="45565E"/>
          <w:sz w:val="17"/>
        </w:rPr>
        <w:t>Las fuentes se citan como referencia. No se reproducen tablas, figuras ni textos completos protegidos. Cuando el libro lo indica, la base alimentaria (INTA 2018) es de uso personal y no se redistribuye.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14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LIMITACIONES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1A2B33"/>
          <w:sz w:val="20"/>
        </w:rPr>
        <w:t>Los 69 casos son educativos; no representan diagnóstico, prescripción ni tratamiento. Las bases se apoyan en composición INTA y literatura de nutrientes con distintos niveles de verificación. Uso formativo.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15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ADVERTENCIAS Y CONTROL DE CALIDAD</w:t>
            </w:r>
          </w:p>
        </w:tc>
      </w:tr>
    </w:tbl>
    <w:p>
      <w:pPr>
        <w:spacing w:after="40"/>
      </w:pP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Uso educativo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Apoyo académico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No utilizar como único criterio diagnóstico</w:t>
      </w:r>
    </w:p>
    <w:p>
      <w:pPr>
        <w:spacing w:before="80" w:after="80" w:line="276" w:lineRule="auto"/>
      </w:pPr>
      <w:r>
        <w:rPr>
          <w:rFonts w:ascii="Calibri" w:hAnsi="Calibri"/>
          <w:b w:val="0"/>
          <w:i/>
          <w:color w:val="45565E"/>
          <w:sz w:val="19"/>
        </w:rPr>
        <w:t>Esta herramienta forma parte de la suite NUTRIMETRÍA y ha sido sometida a procesos de auditoría matemática, funcional, estructural y documental cuando dicha condición está respaldada por la versión analizada. No se declara validación clínica ni exactitud del 100 %.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16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PRODUCTOS RELACIONADOS · VERSIONADO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0"/>
        </w:rPr>
        <w:t>Productos relacionados dentro de la suite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NMX-15 · Biblioteca Profesional de Fórmulas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NMX-21 · Distribución Alimentaria (INTA 2018)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NMX-13 · Recordatorio de 24 Horas (con catálogo PAL, NMX-01)</w:t>
      </w:r>
    </w:p>
    <w:p>
      <w:pPr>
        <w:spacing w:before="80" w:after="40" w:line="276" w:lineRule="auto"/>
      </w:pPr>
      <w:r>
        <w:rPr>
          <w:rFonts w:ascii="Calibri" w:hAnsi="Calibri"/>
          <w:b/>
          <w:i w:val="0"/>
          <w:color w:val="0A3E3A"/>
          <w:sz w:val="20"/>
        </w:rPr>
        <w:t>Versionado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600"/>
        <w:gridCol w:w="6760"/>
      </w:tblGrid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Producto_ID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NMX-43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Archivo analizado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NMX-43_BIBLIOTECA_UDD_v1_2_0_CASOS_69(3)_COMERCIAL_PRE_P19_REPARADO_PRE_P19.xlsx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 visible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v1.2.0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Estado documental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PRE_P19 (estado documental declarado en el nombre del archivo)</w:t>
            </w:r>
          </w:p>
        </w:tc>
      </w:tr>
    </w:tbl>
    <w:p>
      <w:r>
        <w:br w:type="page"/>
      </w:r>
    </w:p>
    <w:p>
      <w:pPr>
        <w:spacing w:before="40" w:after="80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260" w:type="dxa"/>
          <w:bottom w:w="260" w:type="dxa"/>
          <w:left w:w="220" w:type="dxa"/>
          <w:right w:w="2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A3E3A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52"/>
              </w:rPr>
              <w:t>NUTRIMETRÍA</w:t>
            </w:r>
          </w:p>
          <w:p>
            <w:pPr>
              <w:spacing w:before="120" w:after="0"/>
              <w:jc w:val="center"/>
            </w:pPr>
            <w:r>
              <w:rPr>
                <w:rFonts w:ascii="Calibri" w:hAnsi="Calibri"/>
                <w:b/>
                <w:i w:val="0"/>
                <w:color w:val="EDF2F1"/>
                <w:sz w:val="24"/>
              </w:rPr>
              <w:t>NMX-43 · Biblioteca UDD y Banco Clínico-Formativo (Bases de la Nutrición I y II)</w:t>
            </w:r>
          </w:p>
          <w:p>
            <w:pPr>
              <w:spacing w:before="80" w:after="0"/>
              <w:jc w:val="center"/>
            </w:pPr>
            <w:r>
              <w:rPr>
                <w:rFonts w:ascii="Calibri" w:hAnsi="Calibri"/>
                <w:b w:val="0"/>
                <w:i w:val="0"/>
                <w:color w:val="EDF2F1"/>
                <w:sz w:val="20"/>
              </w:rPr>
              <w:t>Fase 2 · Bases y Bibliotecas · v1.2.0 · 2026</w:t>
            </w:r>
          </w:p>
        </w:tc>
      </w:tr>
    </w:tbl>
    <w:p>
      <w:pPr>
        <w:spacing w:before="40" w:after="280" w:line="276" w:lineRule="auto"/>
      </w:pPr>
    </w:p>
    <w:p>
      <w:pPr>
        <w:spacing w:before="40" w:after="120" w:line="276" w:lineRule="auto"/>
        <w:jc w:val="center"/>
      </w:pPr>
      <w:r>
        <w:rPr>
          <w:rFonts w:ascii="Calibri" w:hAnsi="Calibri"/>
          <w:b/>
          <w:i w:val="0"/>
          <w:color w:val="0F5A54"/>
          <w:sz w:val="24"/>
        </w:rPr>
        <w:t>Herramienta educativa para Nutrición y Dietética</w:t>
      </w:r>
    </w:p>
    <w:p>
      <w:pPr>
        <w:spacing w:before="40" w:after="80" w:line="276" w:lineRule="auto"/>
        <w:jc w:val="center"/>
      </w:pPr>
      <w:r>
        <w:rPr>
          <w:rFonts w:ascii="Calibri" w:hAnsi="Calibri"/>
          <w:b w:val="0"/>
          <w:i/>
          <w:color w:val="45565E"/>
          <w:sz w:val="19"/>
        </w:rPr>
        <w:t>Suite NUTRIMETRÍA — orden, trazabilidad, aprendizaje, metodología, automatización y usabilidad.</w:t>
      </w:r>
    </w:p>
    <w:sectPr w:rsidR="00FC693F" w:rsidRPr="0006063C" w:rsidSect="00034616">
      <w:footerReference w:type="default" r:id="rId9"/>
      <w:pgSz w:w="12240" w:h="15840"/>
      <w:pgMar w:top="907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tabs>
        <w:tab w:val="center" w:pos="4680"/>
        <w:tab w:val="right" w:pos="9360"/>
      </w:tabs>
    </w:pPr>
    <w:r>
      <w:rPr>
        <w:rFonts w:ascii="Calibri" w:hAnsi="Calibri"/>
        <w:b/>
        <w:i w:val="0"/>
        <w:color w:val="0F5A54"/>
        <w:sz w:val="16"/>
      </w:rPr>
      <w:t>NUTRIMETRÍA</w:t>
    </w:r>
    <w:r>
      <w:rPr>
        <w:rFonts w:ascii="Calibri" w:hAnsi="Calibri"/>
        <w:b w:val="0"/>
        <w:i w:val="0"/>
        <w:color w:val="45565E"/>
        <w:sz w:val="16"/>
      </w:rPr>
      <w:tab/>
      <w:t>NMX-43 · Biblioteca UDD y Banco Clínico-Formativo (Base</w:t>
    </w:r>
    <w:r>
      <w:rPr>
        <w:rFonts w:ascii="Calibri" w:hAnsi="Calibri"/>
        <w:b w:val="0"/>
        <w:i w:val="0"/>
        <w:color w:val="45565E"/>
        <w:sz w:val="16"/>
      </w:rPr>
      <w:tab/>
      <w:t xml:space="preserve">Pág. </w:t>
    </w:r>
    <w:fldSimple w:instr="PAGE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2B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