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20" w:type="dxa"/>
          <w:bottom w:w="220" w:type="dxa"/>
          <w:left w:w="200" w:type="dxa"/>
          <w:right w:w="200" w:type="dxa"/>
        </w:tblCellMar>
        <w:tblW w:w="9360" w:type="dxa"/>
      </w:tblPr>
      <w:tblGrid>
        <w:gridCol w:w="10086"/>
      </w:tblGrid>
      <w:tr>
        <w:tc>
          <w:tcPr>
            <w:tcW w:type="dxa" w:w="10086"/>
            <w:shd w:val="clear" w:color="auto" w:fill="0A3E3A"/>
          </w:tcPr>
          <w:p>
            <w:pPr>
              <w:spacing w:before="0" w:after="0"/>
            </w:pPr>
            <w:r>
              <w:rPr>
                <w:rFonts w:ascii="Calibri" w:hAnsi="Calibri"/>
                <w:b/>
                <w:i w:val="0"/>
                <w:color w:val="FFFFFF"/>
                <w:sz w:val="60"/>
              </w:rPr>
              <w:t>NUTRIMETRÍA</w:t>
            </w:r>
          </w:p>
          <w:p>
            <w:pPr>
              <w:spacing w:before="40" w:after="0"/>
            </w:pPr>
            <w:r>
              <w:rPr>
                <w:rFonts w:ascii="Calibri" w:hAnsi="Calibri"/>
                <w:b w:val="0"/>
                <w:i w:val="0"/>
                <w:color w:val="EDF2F1"/>
                <w:sz w:val="22"/>
              </w:rPr>
              <w:t>Suite de herramientas para Nutrición y Dietética</w:t>
            </w:r>
          </w:p>
        </w:tc>
      </w:tr>
    </w:tbl>
    <w:p>
      <w:pPr>
        <w:spacing w:before="40" w:after="200" w:line="276" w:lineRule="auto"/>
      </w:pPr>
    </w:p>
    <w:p>
      <w:pPr>
        <w:spacing w:before="0" w:after="280"/>
        <w:pBdr>
          <w:bottom w:val="single" w:sz="8" w:space="1" w:color="C08A2B"/>
        </w:pBdr>
      </w:pPr>
    </w:p>
    <w:p>
      <w:pPr>
        <w:spacing w:before="120" w:after="40" w:line="276" w:lineRule="auto"/>
        <w:jc w:val="left"/>
      </w:pPr>
      <w:r>
        <w:rPr>
          <w:rFonts w:ascii="Calibri" w:hAnsi="Calibri"/>
          <w:b/>
          <w:i w:val="0"/>
          <w:color w:val="0F5A54"/>
          <w:sz w:val="80"/>
        </w:rPr>
        <w:t>NMX-01</w:t>
      </w:r>
    </w:p>
    <w:p>
      <w:pPr>
        <w:spacing w:before="0" w:after="160" w:line="252" w:lineRule="auto"/>
      </w:pPr>
      <w:r>
        <w:rPr>
          <w:rFonts w:ascii="Calibri" w:hAnsi="Calibri"/>
          <w:b/>
          <w:i w:val="0"/>
          <w:color w:val="1A2B33"/>
          <w:sz w:val="38"/>
        </w:rPr>
        <w:t>Calculadora Energética y de Composición Básica (con IMC)</w:t>
      </w:r>
    </w:p>
    <w:p>
      <w:pPr>
        <w:spacing w:before="40" w:after="120" w:line="276" w:lineRule="auto"/>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700"/>
        <w:gridCol w:w="6660"/>
      </w:tblGrid>
      <w:tr>
        <w:tc>
          <w:tcPr>
            <w:tcW w:type="dxa" w:w="2700"/>
            <w:shd w:val="clear" w:color="auto" w:fill="EDF2F1"/>
          </w:tcPr>
          <w:p>
            <w:pPr>
              <w:spacing w:before="20" w:after="20"/>
            </w:pPr>
            <w:r>
              <w:rPr>
                <w:rFonts w:ascii="Calibri" w:hAnsi="Calibri"/>
                <w:b/>
                <w:i w:val="0"/>
                <w:color w:val="0A3E3A"/>
                <w:sz w:val="19"/>
              </w:rPr>
              <w:t>Fase</w:t>
            </w:r>
          </w:p>
        </w:tc>
        <w:tc>
          <w:tcPr>
            <w:tcW w:type="dxa" w:w="6660"/>
          </w:tcPr>
          <w:p>
            <w:pPr>
              <w:spacing w:before="20" w:after="20"/>
            </w:pPr>
            <w:r>
              <w:rPr>
                <w:rFonts w:ascii="Calibri" w:hAnsi="Calibri"/>
                <w:b w:val="0"/>
                <w:i w:val="0"/>
                <w:color w:val="1A2B33"/>
                <w:sz w:val="19"/>
              </w:rPr>
              <w:t>Fase 1 · Motores</w:t>
            </w:r>
          </w:p>
        </w:tc>
      </w:tr>
      <w:tr>
        <w:tc>
          <w:tcPr>
            <w:tcW w:type="dxa" w:w="2700"/>
            <w:shd w:val="clear" w:color="auto" w:fill="EDF2F1"/>
          </w:tcPr>
          <w:p>
            <w:pPr>
              <w:spacing w:before="20" w:after="20"/>
            </w:pPr>
            <w:r>
              <w:rPr>
                <w:rFonts w:ascii="Calibri" w:hAnsi="Calibri"/>
                <w:b/>
                <w:i w:val="0"/>
                <w:color w:val="0A3E3A"/>
                <w:sz w:val="19"/>
              </w:rPr>
              <w:t>Categoría</w:t>
            </w:r>
          </w:p>
        </w:tc>
        <w:tc>
          <w:tcPr>
            <w:tcW w:type="dxa" w:w="6660"/>
          </w:tcPr>
          <w:p>
            <w:pPr>
              <w:spacing w:before="20" w:after="20"/>
            </w:pPr>
            <w:r>
              <w:rPr>
                <w:rFonts w:ascii="Calibri" w:hAnsi="Calibri"/>
                <w:b w:val="0"/>
                <w:i w:val="0"/>
                <w:color w:val="1A2B33"/>
                <w:sz w:val="19"/>
              </w:rPr>
              <w:t>Motor energético y antropométrico básico</w:t>
            </w:r>
          </w:p>
        </w:tc>
      </w:tr>
      <w:tr>
        <w:tc>
          <w:tcPr>
            <w:tcW w:type="dxa" w:w="2700"/>
            <w:shd w:val="clear" w:color="auto" w:fill="EDF2F1"/>
          </w:tcPr>
          <w:p>
            <w:pPr>
              <w:spacing w:before="20" w:after="20"/>
            </w:pPr>
            <w:r>
              <w:rPr>
                <w:rFonts w:ascii="Calibri" w:hAnsi="Calibri"/>
                <w:b/>
                <w:i w:val="0"/>
                <w:color w:val="0A3E3A"/>
                <w:sz w:val="19"/>
              </w:rPr>
              <w:t>Versión</w:t>
            </w:r>
          </w:p>
        </w:tc>
        <w:tc>
          <w:tcPr>
            <w:tcW w:type="dxa" w:w="6660"/>
          </w:tcPr>
          <w:p>
            <w:pPr>
              <w:spacing w:before="20" w:after="20"/>
            </w:pPr>
            <w:r>
              <w:rPr>
                <w:rFonts w:ascii="Calibri" w:hAnsi="Calibri"/>
                <w:b w:val="0"/>
                <w:i w:val="0"/>
                <w:color w:val="1A2B33"/>
                <w:sz w:val="19"/>
              </w:rPr>
              <w:t>NO_CONFIRMADO</w:t>
            </w:r>
          </w:p>
        </w:tc>
      </w:tr>
      <w:tr>
        <w:tc>
          <w:tcPr>
            <w:tcW w:type="dxa" w:w="2700"/>
            <w:shd w:val="clear" w:color="auto" w:fill="EDF2F1"/>
          </w:tcPr>
          <w:p>
            <w:pPr>
              <w:spacing w:before="20" w:after="20"/>
            </w:pPr>
            <w:r>
              <w:rPr>
                <w:rFonts w:ascii="Calibri" w:hAnsi="Calibri"/>
                <w:b/>
                <w:i w:val="0"/>
                <w:color w:val="0A3E3A"/>
                <w:sz w:val="19"/>
              </w:rPr>
              <w:t>Año</w:t>
            </w:r>
          </w:p>
        </w:tc>
        <w:tc>
          <w:tcPr>
            <w:tcW w:type="dxa" w:w="6660"/>
          </w:tcPr>
          <w:p>
            <w:pPr>
              <w:spacing w:before="20" w:after="20"/>
            </w:pPr>
            <w:r>
              <w:rPr>
                <w:rFonts w:ascii="Calibri" w:hAnsi="Calibri"/>
                <w:b w:val="0"/>
                <w:i w:val="0"/>
                <w:color w:val="1A2B33"/>
                <w:sz w:val="19"/>
              </w:rPr>
              <w:t>2026</w:t>
            </w:r>
          </w:p>
        </w:tc>
      </w:tr>
      <w:tr>
        <w:tc>
          <w:tcPr>
            <w:tcW w:type="dxa" w:w="2700"/>
            <w:shd w:val="clear" w:color="auto" w:fill="EDF2F1"/>
          </w:tcPr>
          <w:p>
            <w:pPr>
              <w:spacing w:before="20" w:after="20"/>
            </w:pPr>
            <w:r>
              <w:rPr>
                <w:rFonts w:ascii="Calibri" w:hAnsi="Calibri"/>
                <w:b/>
                <w:i w:val="0"/>
                <w:color w:val="0A3E3A"/>
                <w:sz w:val="19"/>
              </w:rPr>
              <w:t>Estado documental</w:t>
            </w:r>
          </w:p>
        </w:tc>
        <w:tc>
          <w:tcPr>
            <w:tcW w:type="dxa" w:w="6660"/>
          </w:tcPr>
          <w:p>
            <w:pPr>
              <w:spacing w:before="20" w:after="20"/>
            </w:pPr>
            <w:r>
              <w:rPr>
                <w:rFonts w:ascii="Calibri" w:hAnsi="Calibri"/>
                <w:b w:val="0"/>
                <w:i w:val="0"/>
                <w:color w:val="1A2B33"/>
                <w:sz w:val="19"/>
              </w:rPr>
              <w:t>PRE_P19 (estado documental declarado en el nombre del archivo)</w:t>
            </w:r>
          </w:p>
        </w:tc>
      </w:tr>
      <w:tr>
        <w:tc>
          <w:tcPr>
            <w:tcW w:type="dxa" w:w="2700"/>
            <w:shd w:val="clear" w:color="auto" w:fill="EDF2F1"/>
          </w:tcPr>
          <w:p>
            <w:pPr>
              <w:spacing w:before="20" w:after="20"/>
            </w:pPr>
            <w:r>
              <w:rPr>
                <w:rFonts w:ascii="Calibri" w:hAnsi="Calibri"/>
                <w:b/>
                <w:i w:val="0"/>
                <w:color w:val="0A3E3A"/>
                <w:sz w:val="19"/>
              </w:rPr>
              <w:t>Formato</w:t>
            </w:r>
          </w:p>
        </w:tc>
        <w:tc>
          <w:tcPr>
            <w:tcW w:type="dxa" w:w="6660"/>
          </w:tcPr>
          <w:p>
            <w:pPr>
              <w:spacing w:before="20" w:after="20"/>
            </w:pPr>
            <w:r>
              <w:rPr>
                <w:rFonts w:ascii="Calibri" w:hAnsi="Calibri"/>
                <w:b w:val="0"/>
                <w:i w:val="0"/>
                <w:color w:val="1A2B33"/>
                <w:sz w:val="19"/>
              </w:rPr>
              <w:t>.xlsx · 14 hojas (~310 fórmulas, 3 gráficos, 20 validaciones). Declarado para Microsoft 365 y Excel 2021.</w:t>
            </w:r>
          </w:p>
        </w:tc>
      </w:tr>
    </w:tbl>
    <w:p>
      <w:pPr>
        <w:spacing w:before="40" w:after="160" w:line="276" w:lineRule="auto"/>
      </w:pPr>
    </w:p>
    <w:p>
      <w:pPr>
        <w:spacing w:before="0" w:after="120"/>
        <w:pBdr>
          <w:bottom w:val="single" w:sz="8" w:space="1" w:color="D6DEDD"/>
        </w:pBdr>
      </w:pPr>
    </w:p>
    <w:p>
      <w:pPr>
        <w:spacing w:before="40" w:after="40" w:line="276" w:lineRule="auto"/>
      </w:pPr>
      <w:r>
        <w:rPr>
          <w:rFonts w:ascii="Calibri" w:hAnsi="Calibri"/>
          <w:b w:val="0"/>
          <w:i/>
          <w:color w:val="45565E"/>
          <w:sz w:val="18"/>
        </w:rPr>
        <w:t>Herramienta educativa para Nutrición y Dietética · Documento de presentación (portafolio)</w:t>
      </w:r>
    </w:p>
    <w:p>
      <w:pPr>
        <w:spacing w:before="40" w:after="0" w:line="276" w:lineRule="auto"/>
      </w:pPr>
      <w:r>
        <w:rPr>
          <w:rFonts w:ascii="Calibri" w:hAnsi="Calibri"/>
          <w:b w:val="0"/>
          <w:i w:val="0"/>
          <w:color w:val="45565E"/>
          <w:sz w:val="16"/>
        </w:rPr>
        <w:t>Fuente documental: NMX-01_Necesidades_Energeticas_DEFINITIVO_2026.xlsx</w:t>
      </w:r>
    </w:p>
    <w:p>
      <w:r>
        <w:br w:type="page"/>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01   </w:t>
            </w:r>
            <w:r>
              <w:rPr>
                <w:rFonts w:ascii="Calibri" w:hAnsi="Calibri"/>
                <w:b/>
                <w:i w:val="0"/>
                <w:color w:val="FFFFFF"/>
                <w:sz w:val="25"/>
              </w:rPr>
              <w:t>FICHA EJECUTIVA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500"/>
        <w:gridCol w:w="6860"/>
      </w:tblGrid>
      <w:tr>
        <w:tc>
          <w:tcPr>
            <w:tcW w:type="dxa" w:w="2500"/>
            <w:shd w:val="clear" w:color="auto" w:fill="EDF2F1"/>
          </w:tcPr>
          <w:p>
            <w:pPr>
              <w:spacing w:before="20" w:after="20"/>
            </w:pPr>
            <w:r>
              <w:rPr>
                <w:rFonts w:ascii="Calibri" w:hAnsi="Calibri"/>
                <w:b/>
                <w:i w:val="0"/>
                <w:color w:val="0A3E3A"/>
                <w:sz w:val="19"/>
              </w:rPr>
              <w:t>Producto</w:t>
            </w:r>
          </w:p>
        </w:tc>
        <w:tc>
          <w:tcPr>
            <w:tcW w:type="dxa" w:w="6860"/>
          </w:tcPr>
          <w:p>
            <w:pPr>
              <w:spacing w:before="20" w:after="20"/>
            </w:pPr>
            <w:r>
              <w:rPr>
                <w:rFonts w:ascii="Calibri" w:hAnsi="Calibri"/>
                <w:b w:val="0"/>
                <w:i w:val="0"/>
                <w:color w:val="1A2B33"/>
                <w:sz w:val="19"/>
              </w:rPr>
              <w:t>NMX-01 · Calculadora Energética y de Composición Básica (con IMC)</w:t>
            </w:r>
          </w:p>
        </w:tc>
      </w:tr>
      <w:tr>
        <w:tc>
          <w:tcPr>
            <w:tcW w:type="dxa" w:w="2500"/>
            <w:shd w:val="clear" w:color="auto" w:fill="EDF2F1"/>
          </w:tcPr>
          <w:p>
            <w:pPr>
              <w:spacing w:before="20" w:after="20"/>
            </w:pPr>
            <w:r>
              <w:rPr>
                <w:rFonts w:ascii="Calibri" w:hAnsi="Calibri"/>
                <w:b/>
                <w:i w:val="0"/>
                <w:color w:val="0A3E3A"/>
                <w:sz w:val="19"/>
              </w:rPr>
              <w:t>Fase</w:t>
            </w:r>
          </w:p>
        </w:tc>
        <w:tc>
          <w:tcPr>
            <w:tcW w:type="dxa" w:w="6860"/>
          </w:tcPr>
          <w:p>
            <w:pPr>
              <w:spacing w:before="20" w:after="20"/>
            </w:pPr>
            <w:r>
              <w:rPr>
                <w:rFonts w:ascii="Calibri" w:hAnsi="Calibri"/>
                <w:b w:val="0"/>
                <w:i w:val="0"/>
                <w:color w:val="1A2B33"/>
                <w:sz w:val="19"/>
              </w:rPr>
              <w:t>Fase 1 · Motores</w:t>
            </w:r>
          </w:p>
        </w:tc>
      </w:tr>
      <w:tr>
        <w:tc>
          <w:tcPr>
            <w:tcW w:type="dxa" w:w="2500"/>
            <w:shd w:val="clear" w:color="auto" w:fill="EDF2F1"/>
          </w:tcPr>
          <w:p>
            <w:pPr>
              <w:spacing w:before="20" w:after="20"/>
            </w:pPr>
            <w:r>
              <w:rPr>
                <w:rFonts w:ascii="Calibri" w:hAnsi="Calibri"/>
                <w:b/>
                <w:i w:val="0"/>
                <w:color w:val="0A3E3A"/>
                <w:sz w:val="19"/>
              </w:rPr>
              <w:t>Categoría</w:t>
            </w:r>
          </w:p>
        </w:tc>
        <w:tc>
          <w:tcPr>
            <w:tcW w:type="dxa" w:w="6860"/>
          </w:tcPr>
          <w:p>
            <w:pPr>
              <w:spacing w:before="20" w:after="20"/>
            </w:pPr>
            <w:r>
              <w:rPr>
                <w:rFonts w:ascii="Calibri" w:hAnsi="Calibri"/>
                <w:b w:val="0"/>
                <w:i w:val="0"/>
                <w:color w:val="1A2B33"/>
                <w:sz w:val="19"/>
              </w:rPr>
              <w:t>Motor energético y antropométrico básico</w:t>
            </w:r>
          </w:p>
        </w:tc>
      </w:tr>
      <w:tr>
        <w:tc>
          <w:tcPr>
            <w:tcW w:type="dxa" w:w="2500"/>
            <w:shd w:val="clear" w:color="auto" w:fill="EDF2F1"/>
          </w:tcPr>
          <w:p>
            <w:pPr>
              <w:spacing w:before="20" w:after="20"/>
            </w:pPr>
            <w:r>
              <w:rPr>
                <w:rFonts w:ascii="Calibri" w:hAnsi="Calibri"/>
                <w:b/>
                <w:i w:val="0"/>
                <w:color w:val="0A3E3A"/>
                <w:sz w:val="19"/>
              </w:rPr>
              <w:t>Público</w:t>
            </w:r>
          </w:p>
        </w:tc>
        <w:tc>
          <w:tcPr>
            <w:tcW w:type="dxa" w:w="6860"/>
          </w:tcPr>
          <w:p>
            <w:pPr>
              <w:spacing w:before="20" w:after="20"/>
            </w:pPr>
            <w:r>
              <w:rPr>
                <w:rFonts w:ascii="Calibri" w:hAnsi="Calibri"/>
                <w:b w:val="0"/>
                <w:i w:val="0"/>
                <w:color w:val="1A2B33"/>
                <w:sz w:val="19"/>
              </w:rPr>
              <w:t>Estudiante de Nutrición y Dietética; Docente; Nutricionista (apoyo académico/clínico)</w:t>
            </w:r>
          </w:p>
        </w:tc>
      </w:tr>
      <w:tr>
        <w:tc>
          <w:tcPr>
            <w:tcW w:type="dxa" w:w="2500"/>
            <w:shd w:val="clear" w:color="auto" w:fill="EDF2F1"/>
          </w:tcPr>
          <w:p>
            <w:pPr>
              <w:spacing w:before="20" w:after="20"/>
            </w:pPr>
            <w:r>
              <w:rPr>
                <w:rFonts w:ascii="Calibri" w:hAnsi="Calibri"/>
                <w:b/>
                <w:i w:val="0"/>
                <w:color w:val="0A3E3A"/>
                <w:sz w:val="19"/>
              </w:rPr>
              <w:t>Objetivo</w:t>
            </w:r>
          </w:p>
        </w:tc>
        <w:tc>
          <w:tcPr>
            <w:tcW w:type="dxa" w:w="6860"/>
          </w:tcPr>
          <w:p>
            <w:pPr>
              <w:spacing w:before="20" w:after="20"/>
            </w:pPr>
            <w:r>
              <w:rPr>
                <w:rFonts w:ascii="Calibri" w:hAnsi="Calibri"/>
                <w:b w:val="0"/>
                <w:i w:val="0"/>
                <w:color w:val="1A2B33"/>
                <w:sz w:val="19"/>
              </w:rPr>
              <w:t>Calcular las necesidades energéticas (TMB y GET) a partir de datos antropométricos y del nivel de actividad física, e integrar el cálculo y la clasificación del Índice de Masa Corporal (IMC).</w:t>
            </w:r>
          </w:p>
        </w:tc>
      </w:tr>
      <w:tr>
        <w:tc>
          <w:tcPr>
            <w:tcW w:type="dxa" w:w="2500"/>
            <w:shd w:val="clear" w:color="auto" w:fill="EDF2F1"/>
          </w:tcPr>
          <w:p>
            <w:pPr>
              <w:spacing w:before="20" w:after="20"/>
            </w:pPr>
            <w:r>
              <w:rPr>
                <w:rFonts w:ascii="Calibri" w:hAnsi="Calibri"/>
                <w:b/>
                <w:i w:val="0"/>
                <w:color w:val="0A3E3A"/>
                <w:sz w:val="19"/>
              </w:rPr>
              <w:t>Entradas principales</w:t>
            </w:r>
          </w:p>
        </w:tc>
        <w:tc>
          <w:tcPr>
            <w:tcW w:type="dxa" w:w="6860"/>
          </w:tcPr>
          <w:p>
            <w:pPr>
              <w:spacing w:before="20" w:after="20"/>
            </w:pPr>
            <w:r>
              <w:rPr>
                <w:rFonts w:ascii="Calibri" w:hAnsi="Calibri"/>
                <w:b w:val="0"/>
                <w:i w:val="0"/>
                <w:color w:val="1A2B33"/>
                <w:sz w:val="19"/>
              </w:rPr>
              <w:t>Datos personales: Sexo, Edad; Antropometría: Peso (kg), Talla (m o cm); Actividad: Nivel de actividad física (PAL, catálogo NMX-PAL-2026-08-v1)</w:t>
            </w:r>
          </w:p>
        </w:tc>
      </w:tr>
      <w:tr>
        <w:tc>
          <w:tcPr>
            <w:tcW w:type="dxa" w:w="2500"/>
            <w:shd w:val="clear" w:color="auto" w:fill="EDF2F1"/>
          </w:tcPr>
          <w:p>
            <w:pPr>
              <w:spacing w:before="20" w:after="20"/>
            </w:pPr>
            <w:r>
              <w:rPr>
                <w:rFonts w:ascii="Calibri" w:hAnsi="Calibri"/>
                <w:b/>
                <w:i w:val="0"/>
                <w:color w:val="0A3E3A"/>
                <w:sz w:val="19"/>
              </w:rPr>
              <w:t>Resultados principales</w:t>
            </w:r>
          </w:p>
        </w:tc>
        <w:tc>
          <w:tcPr>
            <w:tcW w:type="dxa" w:w="6860"/>
          </w:tcPr>
          <w:p>
            <w:pPr>
              <w:spacing w:before="20" w:after="20"/>
            </w:pPr>
            <w:r>
              <w:rPr>
                <w:rFonts w:ascii="Calibri" w:hAnsi="Calibri"/>
                <w:b w:val="0"/>
                <w:i w:val="0"/>
                <w:color w:val="1A2B33"/>
                <w:sz w:val="19"/>
              </w:rPr>
              <w:t>Tasa Metabólica Basal; Gasto Energético Total; Índice de Masa Corporal; Clasificación IMC (OMS)</w:t>
            </w:r>
          </w:p>
        </w:tc>
      </w:tr>
      <w:tr>
        <w:tc>
          <w:tcPr>
            <w:tcW w:type="dxa" w:w="2500"/>
            <w:shd w:val="clear" w:color="auto" w:fill="EDF2F1"/>
          </w:tcPr>
          <w:p>
            <w:pPr>
              <w:spacing w:before="20" w:after="20"/>
            </w:pPr>
            <w:r>
              <w:rPr>
                <w:rFonts w:ascii="Calibri" w:hAnsi="Calibri"/>
                <w:b/>
                <w:i w:val="0"/>
                <w:color w:val="0A3E3A"/>
                <w:sz w:val="19"/>
              </w:rPr>
              <w:t>Nivel sugerido</w:t>
            </w:r>
          </w:p>
        </w:tc>
        <w:tc>
          <w:tcPr>
            <w:tcW w:type="dxa" w:w="6860"/>
          </w:tcPr>
          <w:p>
            <w:pPr>
              <w:spacing w:before="20" w:after="20"/>
            </w:pPr>
            <w:r>
              <w:rPr>
                <w:rFonts w:ascii="Calibri" w:hAnsi="Calibri"/>
                <w:b w:val="0"/>
                <w:i w:val="0"/>
                <w:color w:val="1A2B33"/>
                <w:sz w:val="19"/>
              </w:rPr>
              <w:t>Educativo / apoyo clínico profesional</w:t>
            </w:r>
          </w:p>
        </w:tc>
      </w:tr>
      <w:tr>
        <w:tc>
          <w:tcPr>
            <w:tcW w:type="dxa" w:w="2500"/>
            <w:shd w:val="clear" w:color="auto" w:fill="EDF2F1"/>
          </w:tcPr>
          <w:p>
            <w:pPr>
              <w:spacing w:before="20" w:after="20"/>
            </w:pPr>
            <w:r>
              <w:rPr>
                <w:rFonts w:ascii="Calibri" w:hAnsi="Calibri"/>
                <w:b/>
                <w:i w:val="0"/>
                <w:color w:val="0A3E3A"/>
                <w:sz w:val="19"/>
              </w:rPr>
              <w:t>Versión</w:t>
            </w:r>
          </w:p>
        </w:tc>
        <w:tc>
          <w:tcPr>
            <w:tcW w:type="dxa" w:w="6860"/>
          </w:tcPr>
          <w:p>
            <w:pPr>
              <w:spacing w:before="20" w:after="20"/>
            </w:pPr>
            <w:r>
              <w:rPr>
                <w:rFonts w:ascii="Calibri" w:hAnsi="Calibri"/>
                <w:b w:val="0"/>
                <w:i w:val="0"/>
                <w:color w:val="1A2B33"/>
                <w:sz w:val="19"/>
              </w:rPr>
              <w:t>NO_CONFIRMADO</w:t>
            </w:r>
          </w:p>
        </w:tc>
      </w:tr>
      <w:tr>
        <w:tc>
          <w:tcPr>
            <w:tcW w:type="dxa" w:w="2500"/>
            <w:shd w:val="clear" w:color="auto" w:fill="EDF2F1"/>
          </w:tcPr>
          <w:p>
            <w:pPr>
              <w:spacing w:before="20" w:after="20"/>
            </w:pPr>
            <w:r>
              <w:rPr>
                <w:rFonts w:ascii="Calibri" w:hAnsi="Calibri"/>
                <w:b/>
                <w:i w:val="0"/>
                <w:color w:val="0A3E3A"/>
                <w:sz w:val="19"/>
              </w:rPr>
              <w:t>Formato</w:t>
            </w:r>
          </w:p>
        </w:tc>
        <w:tc>
          <w:tcPr>
            <w:tcW w:type="dxa" w:w="6860"/>
          </w:tcPr>
          <w:p>
            <w:pPr>
              <w:spacing w:before="20" w:after="20"/>
            </w:pPr>
            <w:r>
              <w:rPr>
                <w:rFonts w:ascii="Calibri" w:hAnsi="Calibri"/>
                <w:b w:val="0"/>
                <w:i w:val="0"/>
                <w:color w:val="1A2B33"/>
                <w:sz w:val="19"/>
              </w:rPr>
              <w:t>.xlsx · 14 hojas (~310 fórmulas, 3 gráficos, 20 validaciones). Declarado para Microsoft 365 y Excel 2021.</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02   </w:t>
            </w:r>
            <w:r>
              <w:rPr>
                <w:rFonts w:ascii="Calibri" w:hAnsi="Calibri"/>
                <w:b/>
                <w:i w:val="0"/>
                <w:color w:val="FFFFFF"/>
                <w:sz w:val="25"/>
              </w:rPr>
              <w:t>¿QUÉ ES ESTA HERRAMIENTA?</w:t>
            </w:r>
          </w:p>
        </w:tc>
      </w:tr>
    </w:tbl>
    <w:p>
      <w:pPr>
        <w:spacing w:after="40"/>
      </w:pPr>
    </w:p>
    <w:p>
      <w:pPr>
        <w:spacing w:before="40" w:after="120" w:line="288" w:lineRule="auto"/>
      </w:pPr>
      <w:r>
        <w:rPr>
          <w:rFonts w:ascii="Calibri" w:hAnsi="Calibri"/>
          <w:b w:val="0"/>
          <w:i w:val="0"/>
          <w:color w:val="1A2B33"/>
          <w:sz w:val="21"/>
        </w:rPr>
        <w:t>NMX-01 es el motor energético básico de la suite: a partir de sexo, edad, peso y talla estima la Tasa Metabólica Basal (Mifflin-St Jeor) y el Gasto Energético Total aplicando un Nivel de Actividad Física (PAL) con catálogo propio (NMX-PAL-2026-08-v1). En esta versión se integra formalmente el Índice de Masa Corporal (IMC = peso / talla²) y su clasificación según los puntos de corte OMS para adultos (bajo peso, normopeso, sobrepeso y obesidad grados I–III). El libro (14 hojas, ~310 fórmulas, 3 gráficos y 20 validaciones) mantiene hojas de ecuaciones, cálculo, resultados y trazabilidad. Es un motor educativo: la exactitud del cálculo no equivale a validación clínica.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03   </w:t>
            </w:r>
            <w:r>
              <w:rPr>
                <w:rFonts w:ascii="Calibri" w:hAnsi="Calibri"/>
                <w:b/>
                <w:i w:val="0"/>
                <w:color w:val="FFFFFF"/>
                <w:sz w:val="25"/>
              </w:rPr>
              <w:t>OBJETIVO</w:t>
            </w:r>
          </w:p>
        </w:tc>
      </w:tr>
    </w:tbl>
    <w:p>
      <w:pPr>
        <w:spacing w:after="40"/>
      </w:pPr>
    </w:p>
    <w:p>
      <w:pPr>
        <w:spacing w:before="40" w:after="40" w:line="276" w:lineRule="auto"/>
      </w:pPr>
      <w:r>
        <w:rPr>
          <w:rFonts w:ascii="Calibri" w:hAnsi="Calibri"/>
          <w:b/>
          <w:i w:val="0"/>
          <w:color w:val="0A3E3A"/>
          <w:sz w:val="21"/>
        </w:rPr>
        <w:t>Objetivo general</w:t>
      </w:r>
    </w:p>
    <w:p>
      <w:pPr>
        <w:spacing w:before="40" w:after="120" w:line="276" w:lineRule="auto"/>
      </w:pPr>
      <w:r>
        <w:rPr>
          <w:rFonts w:ascii="Calibri" w:hAnsi="Calibri"/>
          <w:b w:val="0"/>
          <w:i w:val="0"/>
          <w:color w:val="1A2B33"/>
          <w:sz w:val="21"/>
        </w:rPr>
        <w:t>Calcular las necesidades energéticas (TMB y GET) a partir de datos antropométricos y del nivel de actividad física, e integrar el cálculo y la clasificación del Índice de Masa Corporal (IMC).</w:t>
      </w:r>
    </w:p>
    <w:p>
      <w:pPr>
        <w:spacing w:before="40" w:after="40" w:line="276" w:lineRule="auto"/>
      </w:pPr>
      <w:r>
        <w:rPr>
          <w:rFonts w:ascii="Calibri" w:hAnsi="Calibri"/>
          <w:b/>
          <w:i w:val="0"/>
          <w:color w:val="0A3E3A"/>
          <w:sz w:val="21"/>
        </w:rPr>
        <w:t>Objetivos específicos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Ingresar sexo, edad, peso, talla y nivel de actividad.</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Obtener TMB y GET con el catálogo de PAL propio.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Obtener el IMC y su clasificación según los puntos de corte OMS.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04   </w:t>
            </w:r>
            <w:r>
              <w:rPr>
                <w:rFonts w:ascii="Calibri" w:hAnsi="Calibri"/>
                <w:b/>
                <w:i w:val="0"/>
                <w:color w:val="FFFFFF"/>
                <w:sz w:val="25"/>
              </w:rPr>
              <w:t>PÚBLICO OBJETIVO · ¿PARA QUÉ SIRVE?</w:t>
            </w:r>
          </w:p>
        </w:tc>
      </w:tr>
    </w:tbl>
    <w:p>
      <w:pPr>
        <w:spacing w:after="40"/>
      </w:pPr>
    </w:p>
    <w:p>
      <w:pPr>
        <w:spacing w:before="40" w:after="40" w:line="276" w:lineRule="auto"/>
      </w:pPr>
      <w:r>
        <w:rPr>
          <w:rFonts w:ascii="Calibri" w:hAnsi="Calibri"/>
          <w:b/>
          <w:i w:val="0"/>
          <w:color w:val="0A3E3A"/>
          <w:sz w:val="21"/>
        </w:rPr>
        <w:t>Público objetivo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Estudiante de Nutrición y Dietética</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Docente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Nutricionista (apoyo académico/clínico)</w:t>
      </w:r>
    </w:p>
    <w:p>
      <w:pPr>
        <w:spacing w:before="80" w:after="40" w:line="276" w:lineRule="auto"/>
      </w:pPr>
      <w:r>
        <w:rPr>
          <w:rFonts w:ascii="Calibri" w:hAnsi="Calibri"/>
          <w:b/>
          <w:i w:val="0"/>
          <w:color w:val="0A3E3A"/>
          <w:sz w:val="21"/>
        </w:rPr>
        <w:t>Población de referencia (según el libro)</w:t>
      </w:r>
    </w:p>
    <w:p>
      <w:pPr>
        <w:spacing w:before="40" w:after="120" w:line="276" w:lineRule="auto"/>
      </w:pPr>
      <w:r>
        <w:rPr>
          <w:rFonts w:ascii="Calibri" w:hAnsi="Calibri"/>
          <w:b w:val="0"/>
          <w:i w:val="0"/>
          <w:color w:val="1A2B33"/>
          <w:sz w:val="21"/>
        </w:rPr>
        <w:t>Personas adultas; gasto energético por Mifflin-St Jeor con PAL, e Índice de Masa Corporal (IMC) con puntos de corte OMS para adultos.</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05   </w:t>
            </w:r>
            <w:r>
              <w:rPr>
                <w:rFonts w:ascii="Calibri" w:hAnsi="Calibri"/>
                <w:b/>
                <w:i w:val="0"/>
                <w:color w:val="FFFFFF"/>
                <w:sz w:val="25"/>
              </w:rPr>
              <w:t>FUNCIONES PRINCIPALES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500"/>
        <w:gridCol w:w="2000"/>
        <w:gridCol w:w="2160"/>
        <w:gridCol w:w="1200"/>
      </w:tblGrid>
      <w:tr>
        <w:tc>
          <w:tcPr>
            <w:tcW w:type="dxa" w:w="1500"/>
            <w:shd w:val="clear" w:color="auto" w:fill="0F5A54"/>
          </w:tcPr>
          <w:p>
            <w:pPr>
              <w:spacing w:before="20" w:after="20"/>
            </w:pPr>
            <w:r>
              <w:rPr>
                <w:rFonts w:ascii="Calibri" w:hAnsi="Calibri"/>
                <w:b/>
                <w:i w:val="0"/>
                <w:color w:val="FFFFFF"/>
                <w:sz w:val="18"/>
              </w:rPr>
              <w:t>Función</w:t>
            </w:r>
          </w:p>
        </w:tc>
        <w:tc>
          <w:tcPr>
            <w:tcW w:type="dxa" w:w="2500"/>
            <w:shd w:val="clear" w:color="auto" w:fill="0F5A54"/>
          </w:tcPr>
          <w:p>
            <w:pPr>
              <w:spacing w:before="20" w:after="20"/>
            </w:pPr>
            <w:r>
              <w:rPr>
                <w:rFonts w:ascii="Calibri" w:hAnsi="Calibri"/>
                <w:b/>
                <w:i w:val="0"/>
                <w:color w:val="FFFFFF"/>
                <w:sz w:val="18"/>
              </w:rPr>
              <w:t>Qué hace</w:t>
            </w:r>
          </w:p>
        </w:tc>
        <w:tc>
          <w:tcPr>
            <w:tcW w:type="dxa" w:w="2000"/>
            <w:shd w:val="clear" w:color="auto" w:fill="0F5A54"/>
          </w:tcPr>
          <w:p>
            <w:pPr>
              <w:spacing w:before="20" w:after="20"/>
            </w:pPr>
            <w:r>
              <w:rPr>
                <w:rFonts w:ascii="Calibri" w:hAnsi="Calibri"/>
                <w:b/>
                <w:i w:val="0"/>
                <w:color w:val="FFFFFF"/>
                <w:sz w:val="18"/>
              </w:rPr>
              <w:t>Datos necesarios</w:t>
            </w:r>
          </w:p>
        </w:tc>
        <w:tc>
          <w:tcPr>
            <w:tcW w:type="dxa" w:w="2160"/>
            <w:shd w:val="clear" w:color="auto" w:fill="0F5A54"/>
          </w:tcPr>
          <w:p>
            <w:pPr>
              <w:spacing w:before="20" w:after="20"/>
            </w:pPr>
            <w:r>
              <w:rPr>
                <w:rFonts w:ascii="Calibri" w:hAnsi="Calibri"/>
                <w:b/>
                <w:i w:val="0"/>
                <w:color w:val="FFFFFF"/>
                <w:sz w:val="18"/>
              </w:rPr>
              <w:t>Resultado</w:t>
            </w:r>
          </w:p>
        </w:tc>
        <w:tc>
          <w:tcPr>
            <w:tcW w:type="dxa" w:w="1200"/>
            <w:shd w:val="clear" w:color="auto" w:fill="0F5A54"/>
          </w:tcPr>
          <w:p>
            <w:pPr>
              <w:spacing w:before="20" w:after="20"/>
            </w:pPr>
            <w:r>
              <w:rPr>
                <w:rFonts w:ascii="Calibri" w:hAnsi="Calibri"/>
                <w:b/>
                <w:i w:val="0"/>
                <w:color w:val="FFFFFF"/>
                <w:sz w:val="18"/>
              </w:rPr>
              <w:t>Nivel</w:t>
            </w:r>
          </w:p>
        </w:tc>
      </w:tr>
      <w:tr>
        <w:tc>
          <w:tcPr>
            <w:tcW w:type="dxa" w:w="1500"/>
          </w:tcPr>
          <w:p>
            <w:pPr>
              <w:spacing w:before="20" w:after="20"/>
            </w:pPr>
            <w:r>
              <w:rPr>
                <w:rFonts w:ascii="Calibri" w:hAnsi="Calibri"/>
                <w:b w:val="0"/>
                <w:i w:val="0"/>
                <w:color w:val="1A2B33"/>
                <w:sz w:val="18"/>
              </w:rPr>
              <w:t>Tasa Metabólica Basal</w:t>
            </w:r>
          </w:p>
        </w:tc>
        <w:tc>
          <w:tcPr>
            <w:tcW w:type="dxa" w:w="2500"/>
          </w:tcPr>
          <w:p>
            <w:pPr>
              <w:spacing w:before="20" w:after="20"/>
            </w:pPr>
            <w:r>
              <w:rPr>
                <w:rFonts w:ascii="Calibri" w:hAnsi="Calibri"/>
                <w:b w:val="0"/>
                <w:i w:val="0"/>
                <w:color w:val="1A2B33"/>
                <w:sz w:val="18"/>
              </w:rPr>
              <w:t>Calcula la TMB con Mifflin-St Jeor</w:t>
            </w:r>
          </w:p>
        </w:tc>
        <w:tc>
          <w:tcPr>
            <w:tcW w:type="dxa" w:w="2000"/>
          </w:tcPr>
          <w:p>
            <w:pPr>
              <w:spacing w:before="20" w:after="20"/>
            </w:pPr>
            <w:r>
              <w:rPr>
                <w:rFonts w:ascii="Calibri" w:hAnsi="Calibri"/>
                <w:b w:val="0"/>
                <w:i w:val="0"/>
                <w:color w:val="1A2B33"/>
                <w:sz w:val="18"/>
              </w:rPr>
              <w:t>Sexo, edad, peso, talla</w:t>
            </w:r>
          </w:p>
        </w:tc>
        <w:tc>
          <w:tcPr>
            <w:tcW w:type="dxa" w:w="2160"/>
          </w:tcPr>
          <w:p>
            <w:pPr>
              <w:spacing w:before="20" w:after="20"/>
            </w:pPr>
            <w:r>
              <w:rPr>
                <w:rFonts w:ascii="Calibri" w:hAnsi="Calibri"/>
                <w:b w:val="0"/>
                <w:i w:val="0"/>
                <w:color w:val="1A2B33"/>
                <w:sz w:val="18"/>
              </w:rPr>
              <w:t>TMB (kcal/día)</w:t>
            </w:r>
          </w:p>
        </w:tc>
        <w:tc>
          <w:tcPr>
            <w:tcW w:type="dxa" w:w="1200"/>
          </w:tcPr>
          <w:p>
            <w:pPr>
              <w:spacing w:before="20" w:after="20"/>
            </w:pPr>
            <w:r>
              <w:rPr>
                <w:rFonts w:ascii="Calibri" w:hAnsi="Calibri"/>
                <w:b w:val="0"/>
                <w:i w:val="0"/>
                <w:color w:val="1A2B33"/>
                <w:sz w:val="18"/>
              </w:rPr>
              <w:t>Básico</w:t>
            </w:r>
          </w:p>
        </w:tc>
      </w:tr>
      <w:tr>
        <w:tc>
          <w:tcPr>
            <w:tcW w:type="dxa" w:w="1500"/>
            <w:shd w:val="clear" w:color="auto" w:fill="F6F8F8"/>
          </w:tcPr>
          <w:p>
            <w:pPr>
              <w:spacing w:before="20" w:after="20"/>
            </w:pPr>
            <w:r>
              <w:rPr>
                <w:rFonts w:ascii="Calibri" w:hAnsi="Calibri"/>
                <w:b w:val="0"/>
                <w:i w:val="0"/>
                <w:color w:val="1A2B33"/>
                <w:sz w:val="18"/>
              </w:rPr>
              <w:t>Gasto Energético Total</w:t>
            </w:r>
          </w:p>
        </w:tc>
        <w:tc>
          <w:tcPr>
            <w:tcW w:type="dxa" w:w="2500"/>
            <w:shd w:val="clear" w:color="auto" w:fill="F6F8F8"/>
          </w:tcPr>
          <w:p>
            <w:pPr>
              <w:spacing w:before="20" w:after="20"/>
            </w:pPr>
            <w:r>
              <w:rPr>
                <w:rFonts w:ascii="Calibri" w:hAnsi="Calibri"/>
                <w:b w:val="0"/>
                <w:i w:val="0"/>
                <w:color w:val="1A2B33"/>
                <w:sz w:val="18"/>
              </w:rPr>
              <w:t>Aplica el PAL a la TMB</w:t>
            </w:r>
          </w:p>
        </w:tc>
        <w:tc>
          <w:tcPr>
            <w:tcW w:type="dxa" w:w="2000"/>
            <w:shd w:val="clear" w:color="auto" w:fill="F6F8F8"/>
          </w:tcPr>
          <w:p>
            <w:pPr>
              <w:spacing w:before="20" w:after="20"/>
            </w:pPr>
            <w:r>
              <w:rPr>
                <w:rFonts w:ascii="Calibri" w:hAnsi="Calibri"/>
                <w:b w:val="0"/>
                <w:i w:val="0"/>
                <w:color w:val="1A2B33"/>
                <w:sz w:val="18"/>
              </w:rPr>
              <w:t>TMB + nivel de actividad</w:t>
            </w:r>
          </w:p>
        </w:tc>
        <w:tc>
          <w:tcPr>
            <w:tcW w:type="dxa" w:w="2160"/>
            <w:shd w:val="clear" w:color="auto" w:fill="F6F8F8"/>
          </w:tcPr>
          <w:p>
            <w:pPr>
              <w:spacing w:before="20" w:after="20"/>
            </w:pPr>
            <w:r>
              <w:rPr>
                <w:rFonts w:ascii="Calibri" w:hAnsi="Calibri"/>
                <w:b w:val="0"/>
                <w:i w:val="0"/>
                <w:color w:val="1A2B33"/>
                <w:sz w:val="18"/>
              </w:rPr>
              <w:t>GET (kcal/día)</w:t>
            </w:r>
          </w:p>
        </w:tc>
        <w:tc>
          <w:tcPr>
            <w:tcW w:type="dxa" w:w="1200"/>
            <w:shd w:val="clear" w:color="auto" w:fill="F6F8F8"/>
          </w:tcPr>
          <w:p>
            <w:pPr>
              <w:spacing w:before="20" w:after="20"/>
            </w:pPr>
            <w:r>
              <w:rPr>
                <w:rFonts w:ascii="Calibri" w:hAnsi="Calibri"/>
                <w:b w:val="0"/>
                <w:i w:val="0"/>
                <w:color w:val="1A2B33"/>
                <w:sz w:val="18"/>
              </w:rPr>
              <w:t>Básico</w:t>
            </w:r>
          </w:p>
        </w:tc>
      </w:tr>
      <w:tr>
        <w:tc>
          <w:tcPr>
            <w:tcW w:type="dxa" w:w="1500"/>
          </w:tcPr>
          <w:p>
            <w:pPr>
              <w:spacing w:before="20" w:after="20"/>
            </w:pPr>
            <w:r>
              <w:rPr>
                <w:rFonts w:ascii="Calibri" w:hAnsi="Calibri"/>
                <w:b w:val="0"/>
                <w:i w:val="0"/>
                <w:color w:val="1A2B33"/>
                <w:sz w:val="18"/>
              </w:rPr>
              <w:t>Índice de Masa Corporal</w:t>
            </w:r>
          </w:p>
        </w:tc>
        <w:tc>
          <w:tcPr>
            <w:tcW w:type="dxa" w:w="2500"/>
          </w:tcPr>
          <w:p>
            <w:pPr>
              <w:spacing w:before="20" w:after="20"/>
            </w:pPr>
            <w:r>
              <w:rPr>
                <w:rFonts w:ascii="Calibri" w:hAnsi="Calibri"/>
                <w:b w:val="0"/>
                <w:i w:val="0"/>
                <w:color w:val="1A2B33"/>
                <w:sz w:val="18"/>
              </w:rPr>
              <w:t>Calcula IMC = peso / talla² y lo clasifica</w:t>
            </w:r>
          </w:p>
        </w:tc>
        <w:tc>
          <w:tcPr>
            <w:tcW w:type="dxa" w:w="2000"/>
          </w:tcPr>
          <w:p>
            <w:pPr>
              <w:spacing w:before="20" w:after="20"/>
            </w:pPr>
            <w:r>
              <w:rPr>
                <w:rFonts w:ascii="Calibri" w:hAnsi="Calibri"/>
                <w:b w:val="0"/>
                <w:i w:val="0"/>
                <w:color w:val="1A2B33"/>
                <w:sz w:val="18"/>
              </w:rPr>
              <w:t>Peso y talla</w:t>
            </w:r>
          </w:p>
        </w:tc>
        <w:tc>
          <w:tcPr>
            <w:tcW w:type="dxa" w:w="2160"/>
          </w:tcPr>
          <w:p>
            <w:pPr>
              <w:spacing w:before="20" w:after="20"/>
            </w:pPr>
            <w:r>
              <w:rPr>
                <w:rFonts w:ascii="Calibri" w:hAnsi="Calibri"/>
                <w:b w:val="0"/>
                <w:i w:val="0"/>
                <w:color w:val="1A2B33"/>
                <w:sz w:val="18"/>
              </w:rPr>
              <w:t>IMC + clasificación OMS</w:t>
            </w:r>
          </w:p>
        </w:tc>
        <w:tc>
          <w:tcPr>
            <w:tcW w:type="dxa" w:w="1200"/>
          </w:tcPr>
          <w:p>
            <w:pPr>
              <w:spacing w:before="20" w:after="20"/>
            </w:pPr>
            <w:r>
              <w:rPr>
                <w:rFonts w:ascii="Calibri" w:hAnsi="Calibri"/>
                <w:b w:val="0"/>
                <w:i w:val="0"/>
                <w:color w:val="1A2B33"/>
                <w:sz w:val="18"/>
              </w:rPr>
              <w:t>Básico</w:t>
            </w:r>
          </w:p>
        </w:tc>
      </w:tr>
      <w:tr>
        <w:tc>
          <w:tcPr>
            <w:tcW w:type="dxa" w:w="1500"/>
            <w:shd w:val="clear" w:color="auto" w:fill="F6F8F8"/>
          </w:tcPr>
          <w:p>
            <w:pPr>
              <w:spacing w:before="20" w:after="20"/>
            </w:pPr>
            <w:r>
              <w:rPr>
                <w:rFonts w:ascii="Calibri" w:hAnsi="Calibri"/>
                <w:b w:val="0"/>
                <w:i w:val="0"/>
                <w:color w:val="1A2B33"/>
                <w:sz w:val="18"/>
              </w:rPr>
              <w:t>Catálogo de actividad</w:t>
            </w:r>
          </w:p>
        </w:tc>
        <w:tc>
          <w:tcPr>
            <w:tcW w:type="dxa" w:w="2500"/>
            <w:shd w:val="clear" w:color="auto" w:fill="F6F8F8"/>
          </w:tcPr>
          <w:p>
            <w:pPr>
              <w:spacing w:before="20" w:after="20"/>
            </w:pPr>
            <w:r>
              <w:rPr>
                <w:rFonts w:ascii="Calibri" w:hAnsi="Calibri"/>
                <w:b w:val="0"/>
                <w:i w:val="0"/>
                <w:color w:val="1A2B33"/>
                <w:sz w:val="18"/>
              </w:rPr>
              <w:t>Selecciona el factor PAL</w:t>
            </w:r>
          </w:p>
        </w:tc>
        <w:tc>
          <w:tcPr>
            <w:tcW w:type="dxa" w:w="2000"/>
            <w:shd w:val="clear" w:color="auto" w:fill="F6F8F8"/>
          </w:tcPr>
          <w:p>
            <w:pPr>
              <w:spacing w:before="20" w:after="20"/>
            </w:pPr>
            <w:r>
              <w:rPr>
                <w:rFonts w:ascii="Calibri" w:hAnsi="Calibri"/>
                <w:b w:val="0"/>
                <w:i w:val="0"/>
                <w:color w:val="1A2B33"/>
                <w:sz w:val="18"/>
              </w:rPr>
              <w:t>Nivel de actividad</w:t>
            </w:r>
          </w:p>
        </w:tc>
        <w:tc>
          <w:tcPr>
            <w:tcW w:type="dxa" w:w="2160"/>
            <w:shd w:val="clear" w:color="auto" w:fill="F6F8F8"/>
          </w:tcPr>
          <w:p>
            <w:pPr>
              <w:spacing w:before="20" w:after="20"/>
            </w:pPr>
            <w:r>
              <w:rPr>
                <w:rFonts w:ascii="Calibri" w:hAnsi="Calibri"/>
                <w:b w:val="0"/>
                <w:i w:val="0"/>
                <w:color w:val="1A2B33"/>
                <w:sz w:val="18"/>
              </w:rPr>
              <w:t>Factor PAL aplicado</w:t>
            </w:r>
          </w:p>
        </w:tc>
        <w:tc>
          <w:tcPr>
            <w:tcW w:type="dxa" w:w="1200"/>
            <w:shd w:val="clear" w:color="auto" w:fill="F6F8F8"/>
          </w:tcPr>
          <w:p>
            <w:pPr>
              <w:spacing w:before="20" w:after="20"/>
            </w:pPr>
            <w:r>
              <w:rPr>
                <w:rFonts w:ascii="Calibri" w:hAnsi="Calibri"/>
                <w:b w:val="0"/>
                <w:i w:val="0"/>
                <w:color w:val="1A2B33"/>
                <w:sz w:val="18"/>
              </w:rPr>
              <w:t>Básico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06   </w:t>
            </w:r>
            <w:r>
              <w:rPr>
                <w:rFonts w:ascii="Calibri" w:hAnsi="Calibri"/>
                <w:b/>
                <w:i w:val="0"/>
                <w:color w:val="FFFFFF"/>
                <w:sz w:val="25"/>
              </w:rPr>
              <w:t>VARIABLES DE ENTRADA</w:t>
            </w:r>
          </w:p>
        </w:tc>
      </w:tr>
    </w:tbl>
    <w:p>
      <w:pPr>
        <w:spacing w:after="40"/>
      </w:pPr>
    </w:p>
    <w:p>
      <w:pPr>
        <w:spacing w:before="60" w:after="20" w:line="276" w:lineRule="auto"/>
      </w:pPr>
      <w:r>
        <w:rPr>
          <w:rFonts w:ascii="Calibri" w:hAnsi="Calibri"/>
          <w:b/>
          <w:i w:val="0"/>
          <w:color w:val="0A3E3A"/>
          <w:sz w:val="20"/>
        </w:rPr>
        <w:t>Datos personales</w:t>
      </w:r>
    </w:p>
    <w:p>
      <w:pPr>
        <w:spacing w:before="40" w:after="60" w:line="276" w:lineRule="auto"/>
      </w:pPr>
      <w:r>
        <w:rPr>
          <w:rFonts w:ascii="Calibri" w:hAnsi="Calibri"/>
          <w:b w:val="0"/>
          <w:i w:val="0"/>
          <w:color w:val="1A2B33"/>
          <w:sz w:val="19"/>
        </w:rPr>
        <w:t>Sexo, Edad</w:t>
      </w:r>
    </w:p>
    <w:p>
      <w:pPr>
        <w:spacing w:before="60" w:after="20" w:line="276" w:lineRule="auto"/>
      </w:pPr>
      <w:r>
        <w:rPr>
          <w:rFonts w:ascii="Calibri" w:hAnsi="Calibri"/>
          <w:b/>
          <w:i w:val="0"/>
          <w:color w:val="0A3E3A"/>
          <w:sz w:val="20"/>
        </w:rPr>
        <w:t>Antropometría</w:t>
      </w:r>
    </w:p>
    <w:p>
      <w:pPr>
        <w:spacing w:before="40" w:after="60" w:line="276" w:lineRule="auto"/>
      </w:pPr>
      <w:r>
        <w:rPr>
          <w:rFonts w:ascii="Calibri" w:hAnsi="Calibri"/>
          <w:b w:val="0"/>
          <w:i w:val="0"/>
          <w:color w:val="1A2B33"/>
          <w:sz w:val="19"/>
        </w:rPr>
        <w:t>Peso (kg), Talla (m o cm)</w:t>
      </w:r>
    </w:p>
    <w:p>
      <w:pPr>
        <w:spacing w:before="60" w:after="20" w:line="276" w:lineRule="auto"/>
      </w:pPr>
      <w:r>
        <w:rPr>
          <w:rFonts w:ascii="Calibri" w:hAnsi="Calibri"/>
          <w:b/>
          <w:i w:val="0"/>
          <w:color w:val="0A3E3A"/>
          <w:sz w:val="20"/>
        </w:rPr>
        <w:t>Actividad</w:t>
      </w:r>
    </w:p>
    <w:p>
      <w:pPr>
        <w:spacing w:before="40" w:after="60" w:line="276" w:lineRule="auto"/>
      </w:pPr>
      <w:r>
        <w:rPr>
          <w:rFonts w:ascii="Calibri" w:hAnsi="Calibri"/>
          <w:b w:val="0"/>
          <w:i w:val="0"/>
          <w:color w:val="1A2B33"/>
          <w:sz w:val="19"/>
        </w:rPr>
        <w:t>Nivel de actividad física (PAL, catálogo NMX-PAL-2026-08-v1)</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07   </w:t>
            </w:r>
            <w:r>
              <w:rPr>
                <w:rFonts w:ascii="Calibri" w:hAnsi="Calibri"/>
                <w:b/>
                <w:i w:val="0"/>
                <w:color w:val="FFFFFF"/>
                <w:sz w:val="25"/>
              </w:rPr>
              <w:t>RESULTADOS</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000"/>
        <w:gridCol w:w="1700"/>
        <w:gridCol w:w="1560"/>
        <w:gridCol w:w="3100"/>
      </w:tblGrid>
      <w:tr>
        <w:tc>
          <w:tcPr>
            <w:tcW w:type="dxa" w:w="3000"/>
            <w:shd w:val="clear" w:color="auto" w:fill="0F5A54"/>
          </w:tcPr>
          <w:p>
            <w:pPr>
              <w:spacing w:before="20" w:after="20"/>
            </w:pPr>
            <w:r>
              <w:rPr>
                <w:rFonts w:ascii="Calibri" w:hAnsi="Calibri"/>
                <w:b/>
                <w:i w:val="0"/>
                <w:color w:val="FFFFFF"/>
                <w:sz w:val="18"/>
              </w:rPr>
              <w:t>Resultado</w:t>
            </w:r>
          </w:p>
        </w:tc>
        <w:tc>
          <w:tcPr>
            <w:tcW w:type="dxa" w:w="1700"/>
            <w:shd w:val="clear" w:color="auto" w:fill="0F5A54"/>
          </w:tcPr>
          <w:p>
            <w:pPr>
              <w:spacing w:before="20" w:after="20"/>
            </w:pPr>
            <w:r>
              <w:rPr>
                <w:rFonts w:ascii="Calibri" w:hAnsi="Calibri"/>
                <w:b/>
                <w:i w:val="0"/>
                <w:color w:val="FFFFFF"/>
                <w:sz w:val="18"/>
              </w:rPr>
              <w:t>Tipo</w:t>
            </w:r>
          </w:p>
        </w:tc>
        <w:tc>
          <w:tcPr>
            <w:tcW w:type="dxa" w:w="1560"/>
            <w:shd w:val="clear" w:color="auto" w:fill="0F5A54"/>
          </w:tcPr>
          <w:p>
            <w:pPr>
              <w:spacing w:before="20" w:after="20"/>
            </w:pPr>
            <w:r>
              <w:rPr>
                <w:rFonts w:ascii="Calibri" w:hAnsi="Calibri"/>
                <w:b/>
                <w:i w:val="0"/>
                <w:color w:val="FFFFFF"/>
                <w:sz w:val="18"/>
              </w:rPr>
              <w:t>Unidad</w:t>
            </w:r>
          </w:p>
        </w:tc>
        <w:tc>
          <w:tcPr>
            <w:tcW w:type="dxa" w:w="3100"/>
            <w:shd w:val="clear" w:color="auto" w:fill="0F5A54"/>
          </w:tcPr>
          <w:p>
            <w:pPr>
              <w:spacing w:before="20" w:after="20"/>
            </w:pPr>
            <w:r>
              <w:rPr>
                <w:rFonts w:ascii="Calibri" w:hAnsi="Calibri"/>
                <w:b/>
                <w:i w:val="0"/>
                <w:color w:val="FFFFFF"/>
                <w:sz w:val="18"/>
              </w:rPr>
              <w:t>Dependencia de entradas</w:t>
            </w:r>
          </w:p>
        </w:tc>
      </w:tr>
      <w:tr>
        <w:tc>
          <w:tcPr>
            <w:tcW w:type="dxa" w:w="3000"/>
          </w:tcPr>
          <w:p>
            <w:pPr>
              <w:spacing w:before="20" w:after="20"/>
            </w:pPr>
            <w:r>
              <w:rPr>
                <w:rFonts w:ascii="Calibri" w:hAnsi="Calibri"/>
                <w:b w:val="0"/>
                <w:i w:val="0"/>
                <w:color w:val="1A2B33"/>
                <w:sz w:val="18"/>
              </w:rPr>
              <w:t>Tasa Metabólica Basal</w:t>
            </w:r>
          </w:p>
        </w:tc>
        <w:tc>
          <w:tcPr>
            <w:tcW w:type="dxa" w:w="1700"/>
          </w:tcPr>
          <w:p>
            <w:pPr>
              <w:spacing w:before="20" w:after="20"/>
            </w:pPr>
            <w:r>
              <w:rPr>
                <w:rFonts w:ascii="Calibri" w:hAnsi="Calibri"/>
                <w:b w:val="0"/>
                <w:i w:val="0"/>
                <w:color w:val="1A2B33"/>
                <w:sz w:val="18"/>
              </w:rPr>
              <w:t>CÁLCULO</w:t>
            </w:r>
          </w:p>
        </w:tc>
        <w:tc>
          <w:tcPr>
            <w:tcW w:type="dxa" w:w="1560"/>
          </w:tcPr>
          <w:p>
            <w:pPr>
              <w:spacing w:before="20" w:after="20"/>
            </w:pPr>
            <w:r>
              <w:rPr>
                <w:rFonts w:ascii="Calibri" w:hAnsi="Calibri"/>
                <w:b w:val="0"/>
                <w:i w:val="0"/>
                <w:color w:val="1A2B33"/>
                <w:sz w:val="18"/>
              </w:rPr>
              <w:t>kcal/día</w:t>
            </w:r>
          </w:p>
        </w:tc>
        <w:tc>
          <w:tcPr>
            <w:tcW w:type="dxa" w:w="3100"/>
          </w:tcPr>
          <w:p>
            <w:pPr>
              <w:spacing w:before="20" w:after="20"/>
            </w:pPr>
            <w:r>
              <w:rPr>
                <w:rFonts w:ascii="Calibri" w:hAnsi="Calibri"/>
                <w:b w:val="0"/>
                <w:i w:val="0"/>
                <w:color w:val="1A2B33"/>
                <w:sz w:val="18"/>
              </w:rPr>
              <w:t>Depende de sexo, edad, peso y talla</w:t>
            </w:r>
          </w:p>
        </w:tc>
      </w:tr>
      <w:tr>
        <w:tc>
          <w:tcPr>
            <w:tcW w:type="dxa" w:w="3000"/>
            <w:shd w:val="clear" w:color="auto" w:fill="F6F8F8"/>
          </w:tcPr>
          <w:p>
            <w:pPr>
              <w:spacing w:before="20" w:after="20"/>
            </w:pPr>
            <w:r>
              <w:rPr>
                <w:rFonts w:ascii="Calibri" w:hAnsi="Calibri"/>
                <w:b w:val="0"/>
                <w:i w:val="0"/>
                <w:color w:val="1A2B33"/>
                <w:sz w:val="18"/>
              </w:rPr>
              <w:t>Gasto Energético Total</w:t>
            </w:r>
          </w:p>
        </w:tc>
        <w:tc>
          <w:tcPr>
            <w:tcW w:type="dxa" w:w="1700"/>
            <w:shd w:val="clear" w:color="auto" w:fill="F6F8F8"/>
          </w:tcPr>
          <w:p>
            <w:pPr>
              <w:spacing w:before="20" w:after="20"/>
            </w:pPr>
            <w:r>
              <w:rPr>
                <w:rFonts w:ascii="Calibri" w:hAnsi="Calibri"/>
                <w:b w:val="0"/>
                <w:i w:val="0"/>
                <w:color w:val="1A2B33"/>
                <w:sz w:val="18"/>
              </w:rPr>
              <w:t>CÁLCULO</w:t>
            </w:r>
          </w:p>
        </w:tc>
        <w:tc>
          <w:tcPr>
            <w:tcW w:type="dxa" w:w="1560"/>
            <w:shd w:val="clear" w:color="auto" w:fill="F6F8F8"/>
          </w:tcPr>
          <w:p>
            <w:pPr>
              <w:spacing w:before="20" w:after="20"/>
            </w:pPr>
            <w:r>
              <w:rPr>
                <w:rFonts w:ascii="Calibri" w:hAnsi="Calibri"/>
                <w:b w:val="0"/>
                <w:i w:val="0"/>
                <w:color w:val="1A2B33"/>
                <w:sz w:val="18"/>
              </w:rPr>
              <w:t>kcal/día</w:t>
            </w:r>
          </w:p>
        </w:tc>
        <w:tc>
          <w:tcPr>
            <w:tcW w:type="dxa" w:w="3100"/>
            <w:shd w:val="clear" w:color="auto" w:fill="F6F8F8"/>
          </w:tcPr>
          <w:p>
            <w:pPr>
              <w:spacing w:before="20" w:after="20"/>
            </w:pPr>
            <w:r>
              <w:rPr>
                <w:rFonts w:ascii="Calibri" w:hAnsi="Calibri"/>
                <w:b w:val="0"/>
                <w:i w:val="0"/>
                <w:color w:val="1A2B33"/>
                <w:sz w:val="18"/>
              </w:rPr>
              <w:t>Depende de la TMB y del PAL</w:t>
            </w:r>
          </w:p>
        </w:tc>
      </w:tr>
      <w:tr>
        <w:tc>
          <w:tcPr>
            <w:tcW w:type="dxa" w:w="3000"/>
          </w:tcPr>
          <w:p>
            <w:pPr>
              <w:spacing w:before="20" w:after="20"/>
            </w:pPr>
            <w:r>
              <w:rPr>
                <w:rFonts w:ascii="Calibri" w:hAnsi="Calibri"/>
                <w:b w:val="0"/>
                <w:i w:val="0"/>
                <w:color w:val="1A2B33"/>
                <w:sz w:val="18"/>
              </w:rPr>
              <w:t>Índice de Masa Corporal</w:t>
            </w:r>
          </w:p>
        </w:tc>
        <w:tc>
          <w:tcPr>
            <w:tcW w:type="dxa" w:w="1700"/>
          </w:tcPr>
          <w:p>
            <w:pPr>
              <w:spacing w:before="20" w:after="20"/>
            </w:pPr>
            <w:r>
              <w:rPr>
                <w:rFonts w:ascii="Calibri" w:hAnsi="Calibri"/>
                <w:b w:val="0"/>
                <w:i w:val="0"/>
                <w:color w:val="1A2B33"/>
                <w:sz w:val="18"/>
              </w:rPr>
              <w:t>INDICADOR</w:t>
            </w:r>
          </w:p>
        </w:tc>
        <w:tc>
          <w:tcPr>
            <w:tcW w:type="dxa" w:w="1560"/>
          </w:tcPr>
          <w:p>
            <w:pPr>
              <w:spacing w:before="20" w:after="20"/>
            </w:pPr>
            <w:r>
              <w:rPr>
                <w:rFonts w:ascii="Calibri" w:hAnsi="Calibri"/>
                <w:b w:val="0"/>
                <w:i w:val="0"/>
                <w:color w:val="1A2B33"/>
                <w:sz w:val="18"/>
              </w:rPr>
              <w:t>kg/m²</w:t>
            </w:r>
          </w:p>
        </w:tc>
        <w:tc>
          <w:tcPr>
            <w:tcW w:type="dxa" w:w="3100"/>
          </w:tcPr>
          <w:p>
            <w:pPr>
              <w:spacing w:before="20" w:after="20"/>
            </w:pPr>
            <w:r>
              <w:rPr>
                <w:rFonts w:ascii="Calibri" w:hAnsi="Calibri"/>
                <w:b w:val="0"/>
                <w:i w:val="0"/>
                <w:color w:val="1A2B33"/>
                <w:sz w:val="18"/>
              </w:rPr>
              <w:t>Depende de peso y talla</w:t>
            </w:r>
          </w:p>
        </w:tc>
      </w:tr>
      <w:tr>
        <w:tc>
          <w:tcPr>
            <w:tcW w:type="dxa" w:w="3000"/>
            <w:shd w:val="clear" w:color="auto" w:fill="F6F8F8"/>
          </w:tcPr>
          <w:p>
            <w:pPr>
              <w:spacing w:before="20" w:after="20"/>
            </w:pPr>
            <w:r>
              <w:rPr>
                <w:rFonts w:ascii="Calibri" w:hAnsi="Calibri"/>
                <w:b w:val="0"/>
                <w:i w:val="0"/>
                <w:color w:val="1A2B33"/>
                <w:sz w:val="18"/>
              </w:rPr>
              <w:t>Clasificación IMC (OMS)</w:t>
            </w:r>
          </w:p>
        </w:tc>
        <w:tc>
          <w:tcPr>
            <w:tcW w:type="dxa" w:w="1700"/>
            <w:shd w:val="clear" w:color="auto" w:fill="F6F8F8"/>
          </w:tcPr>
          <w:p>
            <w:pPr>
              <w:spacing w:before="20" w:after="20"/>
            </w:pPr>
            <w:r>
              <w:rPr>
                <w:rFonts w:ascii="Calibri" w:hAnsi="Calibri"/>
                <w:b w:val="0"/>
                <w:i w:val="0"/>
                <w:color w:val="1A2B33"/>
                <w:sz w:val="18"/>
              </w:rPr>
              <w:t>INTERPRETACIÓN</w:t>
            </w:r>
          </w:p>
        </w:tc>
        <w:tc>
          <w:tcPr>
            <w:tcW w:type="dxa" w:w="1560"/>
            <w:shd w:val="clear" w:color="auto" w:fill="F6F8F8"/>
          </w:tcPr>
          <w:p>
            <w:pPr>
              <w:spacing w:before="20" w:after="20"/>
            </w:pPr>
            <w:r>
              <w:rPr>
                <w:rFonts w:ascii="Calibri" w:hAnsi="Calibri"/>
                <w:b w:val="0"/>
                <w:i w:val="0"/>
                <w:color w:val="1A2B33"/>
                <w:sz w:val="18"/>
              </w:rPr>
              <w:t>categoría</w:t>
            </w:r>
          </w:p>
        </w:tc>
        <w:tc>
          <w:tcPr>
            <w:tcW w:type="dxa" w:w="3100"/>
            <w:shd w:val="clear" w:color="auto" w:fill="F6F8F8"/>
          </w:tcPr>
          <w:p>
            <w:pPr>
              <w:spacing w:before="20" w:after="20"/>
            </w:pPr>
            <w:r>
              <w:rPr>
                <w:rFonts w:ascii="Calibri" w:hAnsi="Calibri"/>
                <w:b w:val="0"/>
                <w:i w:val="0"/>
                <w:color w:val="1A2B33"/>
                <w:sz w:val="18"/>
              </w:rPr>
              <w:t>Depende del IMC calculado</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08   </w:t>
            </w:r>
            <w:r>
              <w:rPr>
                <w:rFonts w:ascii="Calibri" w:hAnsi="Calibri"/>
                <w:b/>
                <w:i w:val="0"/>
                <w:color w:val="FFFFFF"/>
                <w:sz w:val="25"/>
              </w:rPr>
              <w:t>FLUJO REAL DE USO · MAPA DE HOJAS</w:t>
            </w:r>
          </w:p>
        </w:tc>
      </w:tr>
    </w:tbl>
    <w:p>
      <w:pPr>
        <w:spacing w:after="40"/>
      </w:pPr>
    </w:p>
    <w:p>
      <w:pPr>
        <w:spacing w:before="40" w:after="60" w:line="276" w:lineRule="auto"/>
      </w:pPr>
      <w:r>
        <w:rPr>
          <w:rFonts w:ascii="Calibri" w:hAnsi="Calibri"/>
          <w:b/>
          <w:i w:val="0"/>
          <w:color w:val="0A3E3A"/>
          <w:sz w:val="20"/>
        </w:rPr>
        <w:t>Flujo de uso (según la navegación del libro)</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CellMar>
          <w:top w:w="40" w:type="dxa"/>
          <w:bottom w:w="40" w:type="dxa"/>
          <w:left w:w="40" w:type="dxa"/>
          <w:right w:w="40" w:type="dxa"/>
        </w:tblCellMar>
      </w:tblPr>
      <w:tblGrid>
        <w:gridCol w:w="776"/>
        <w:gridCol w:w="776"/>
        <w:gridCol w:w="776"/>
        <w:gridCol w:w="776"/>
        <w:gridCol w:w="776"/>
        <w:gridCol w:w="776"/>
        <w:gridCol w:w="776"/>
        <w:gridCol w:w="776"/>
        <w:gridCol w:w="776"/>
        <w:gridCol w:w="776"/>
        <w:gridCol w:w="776"/>
        <w:gridCol w:w="776"/>
        <w:gridCol w:w="776"/>
      </w:tblGrid>
      <w:tr>
        <w:tc>
          <w:tcPr>
            <w:tcW w:type="dxa" w:w="776"/>
            <w:shd w:val="clear" w:color="auto" w:fill="EDF2F1"/>
          </w:tcPr>
          <w:p>
            <w:pPr>
              <w:spacing w:before="20" w:after="20"/>
              <w:jc w:val="center"/>
            </w:pPr>
            <w:r>
              <w:rPr>
                <w:rFonts w:ascii="Calibri" w:hAnsi="Calibri"/>
                <w:b/>
                <w:i w:val="0"/>
                <w:color w:val="0A3E3A"/>
                <w:sz w:val="15"/>
              </w:rPr>
              <w:t>INICIO</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DATOS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ACTIVIDADES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ECUACIONES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CALCULOS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RESULTADOS</w:t>
            </w:r>
          </w:p>
        </w:tc>
        <w:tc>
          <w:tcPr>
            <w:tcW w:type="dxa" w:w="776"/>
          </w:tcPr>
          <w:p>
            <w:pPr>
              <w:spacing w:before="20" w:after="20"/>
              <w:jc w:val="center"/>
            </w:pPr>
            <w:r>
              <w:rPr>
                <w:rFonts w:ascii="Calibri" w:hAnsi="Calibri"/>
                <w:b/>
                <w:i w:val="0"/>
                <w:color w:val="C08A2B"/>
                <w:sz w:val="18"/>
              </w:rPr>
              <w:t>→</w:t>
            </w:r>
          </w:p>
        </w:tc>
        <w:tc>
          <w:tcPr>
            <w:tcW w:type="dxa" w:w="776"/>
            <w:shd w:val="clear" w:color="auto" w:fill="EDF2F1"/>
          </w:tcPr>
          <w:p>
            <w:pPr>
              <w:spacing w:before="20" w:after="20"/>
              <w:jc w:val="center"/>
            </w:pPr>
            <w:r>
              <w:rPr>
                <w:rFonts w:ascii="Calibri" w:hAnsi="Calibri"/>
                <w:b/>
                <w:i w:val="0"/>
                <w:color w:val="0A3E3A"/>
                <w:sz w:val="15"/>
              </w:rPr>
              <w:t>FUENTES</w:t>
            </w:r>
          </w:p>
        </w:tc>
      </w:tr>
    </w:tbl>
    <w:p>
      <w:pPr>
        <w:spacing w:before="40" w:after="80" w:line="276" w:lineRule="auto"/>
      </w:pPr>
    </w:p>
    <w:p>
      <w:pPr>
        <w:spacing w:before="80" w:after="60" w:line="276" w:lineRule="auto"/>
      </w:pPr>
      <w:r>
        <w:rPr>
          <w:rFonts w:ascii="Calibri" w:hAnsi="Calibri"/>
          <w:b/>
          <w:i w:val="0"/>
          <w:color w:val="0A3E3A"/>
          <w:sz w:val="20"/>
        </w:rPr>
        <w:t>Mapa de hojas para el comprador</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3600"/>
        <w:gridCol w:w="5760"/>
      </w:tblGrid>
      <w:tr>
        <w:tc>
          <w:tcPr>
            <w:tcW w:type="dxa" w:w="3600"/>
            <w:shd w:val="clear" w:color="auto" w:fill="0F5A54"/>
          </w:tcPr>
          <w:p>
            <w:pPr>
              <w:spacing w:before="20" w:after="20"/>
            </w:pPr>
            <w:r>
              <w:rPr>
                <w:rFonts w:ascii="Calibri" w:hAnsi="Calibri"/>
                <w:b/>
                <w:i w:val="0"/>
                <w:color w:val="FFFFFF"/>
                <w:sz w:val="18"/>
              </w:rPr>
              <w:t>Hoja</w:t>
            </w:r>
          </w:p>
        </w:tc>
        <w:tc>
          <w:tcPr>
            <w:tcW w:type="dxa" w:w="5760"/>
            <w:shd w:val="clear" w:color="auto" w:fill="0F5A54"/>
          </w:tcPr>
          <w:p>
            <w:pPr>
              <w:spacing w:before="20" w:after="20"/>
            </w:pPr>
            <w:r>
              <w:rPr>
                <w:rFonts w:ascii="Calibri" w:hAnsi="Calibri"/>
                <w:b/>
                <w:i w:val="0"/>
                <w:color w:val="FFFFFF"/>
                <w:sz w:val="18"/>
              </w:rPr>
              <w:t>Rol</w:t>
            </w:r>
          </w:p>
        </w:tc>
      </w:tr>
      <w:tr>
        <w:tc>
          <w:tcPr>
            <w:tcW w:type="dxa" w:w="3600"/>
          </w:tcPr>
          <w:p>
            <w:pPr>
              <w:spacing w:before="20" w:after="20"/>
            </w:pPr>
            <w:r>
              <w:rPr>
                <w:rFonts w:ascii="Calibri" w:hAnsi="Calibri"/>
                <w:b w:val="0"/>
                <w:i w:val="0"/>
                <w:color w:val="1A2B33"/>
                <w:sz w:val="18"/>
              </w:rPr>
              <w:t>INICIO</w:t>
            </w:r>
          </w:p>
        </w:tc>
        <w:tc>
          <w:tcPr>
            <w:tcW w:type="dxa" w:w="5760"/>
          </w:tcPr>
          <w:p>
            <w:pPr>
              <w:spacing w:before="20" w:after="20"/>
            </w:pPr>
            <w:r>
              <w:rPr>
                <w:rFonts w:ascii="Calibri" w:hAnsi="Calibri"/>
                <w:b w:val="0"/>
                <w:i w:val="0"/>
                <w:color w:val="1A2B33"/>
                <w:sz w:val="18"/>
              </w:rPr>
              <w:t>INTERFAZ_USUARIO</w:t>
            </w:r>
          </w:p>
        </w:tc>
      </w:tr>
      <w:tr>
        <w:tc>
          <w:tcPr>
            <w:tcW w:type="dxa" w:w="3600"/>
            <w:shd w:val="clear" w:color="auto" w:fill="F6F8F8"/>
          </w:tcPr>
          <w:p>
            <w:pPr>
              <w:spacing w:before="20" w:after="20"/>
            </w:pPr>
            <w:r>
              <w:rPr>
                <w:rFonts w:ascii="Calibri" w:hAnsi="Calibri"/>
                <w:b w:val="0"/>
                <w:i w:val="0"/>
                <w:color w:val="1A2B33"/>
                <w:sz w:val="18"/>
              </w:rPr>
              <w:t>DATOS</w:t>
            </w:r>
          </w:p>
        </w:tc>
        <w:tc>
          <w:tcPr>
            <w:tcW w:type="dxa" w:w="5760"/>
            <w:shd w:val="clear" w:color="auto" w:fill="F6F8F8"/>
          </w:tcPr>
          <w:p>
            <w:pPr>
              <w:spacing w:before="20" w:after="20"/>
            </w:pPr>
            <w:r>
              <w:rPr>
                <w:rFonts w:ascii="Calibri" w:hAnsi="Calibri"/>
                <w:b w:val="0"/>
                <w:i w:val="0"/>
                <w:color w:val="1A2B33"/>
                <w:sz w:val="18"/>
              </w:rPr>
              <w:t>ENTRADA</w:t>
            </w:r>
          </w:p>
        </w:tc>
      </w:tr>
      <w:tr>
        <w:tc>
          <w:tcPr>
            <w:tcW w:type="dxa" w:w="3600"/>
          </w:tcPr>
          <w:p>
            <w:pPr>
              <w:spacing w:before="20" w:after="20"/>
            </w:pPr>
            <w:r>
              <w:rPr>
                <w:rFonts w:ascii="Calibri" w:hAnsi="Calibri"/>
                <w:b w:val="0"/>
                <w:i w:val="0"/>
                <w:color w:val="1A2B33"/>
                <w:sz w:val="18"/>
              </w:rPr>
              <w:t>ACTIVIDADES</w:t>
            </w:r>
          </w:p>
        </w:tc>
        <w:tc>
          <w:tcPr>
            <w:tcW w:type="dxa" w:w="5760"/>
          </w:tcPr>
          <w:p>
            <w:pPr>
              <w:spacing w:before="20" w:after="20"/>
            </w:pPr>
            <w:r>
              <w:rPr>
                <w:rFonts w:ascii="Calibri" w:hAnsi="Calibri"/>
                <w:b w:val="0"/>
                <w:i w:val="0"/>
                <w:color w:val="1A2B33"/>
                <w:sz w:val="18"/>
              </w:rPr>
              <w:t>ENTRADA</w:t>
            </w:r>
          </w:p>
        </w:tc>
      </w:tr>
      <w:tr>
        <w:tc>
          <w:tcPr>
            <w:tcW w:type="dxa" w:w="3600"/>
            <w:shd w:val="clear" w:color="auto" w:fill="F6F8F8"/>
          </w:tcPr>
          <w:p>
            <w:pPr>
              <w:spacing w:before="20" w:after="20"/>
            </w:pPr>
            <w:r>
              <w:rPr>
                <w:rFonts w:ascii="Calibri" w:hAnsi="Calibri"/>
                <w:b w:val="0"/>
                <w:i w:val="0"/>
                <w:color w:val="1A2B33"/>
                <w:sz w:val="18"/>
              </w:rPr>
              <w:t>RESULTADOS</w:t>
            </w:r>
          </w:p>
        </w:tc>
        <w:tc>
          <w:tcPr>
            <w:tcW w:type="dxa" w:w="5760"/>
            <w:shd w:val="clear" w:color="auto" w:fill="F6F8F8"/>
          </w:tcPr>
          <w:p>
            <w:pPr>
              <w:spacing w:before="20" w:after="20"/>
            </w:pPr>
            <w:r>
              <w:rPr>
                <w:rFonts w:ascii="Calibri" w:hAnsi="Calibri"/>
                <w:b w:val="0"/>
                <w:i w:val="0"/>
                <w:color w:val="1A2B33"/>
                <w:sz w:val="18"/>
              </w:rPr>
              <w:t>RESULTADOS</w:t>
            </w:r>
          </w:p>
        </w:tc>
      </w:tr>
      <w:tr>
        <w:tc>
          <w:tcPr>
            <w:tcW w:type="dxa" w:w="3600"/>
          </w:tcPr>
          <w:p>
            <w:pPr>
              <w:spacing w:before="20" w:after="20"/>
            </w:pPr>
            <w:r>
              <w:rPr>
                <w:rFonts w:ascii="Calibri" w:hAnsi="Calibri"/>
                <w:b w:val="0"/>
                <w:i w:val="0"/>
                <w:color w:val="1A2B33"/>
                <w:sz w:val="18"/>
              </w:rPr>
              <w:t>FUENTES</w:t>
            </w:r>
          </w:p>
        </w:tc>
        <w:tc>
          <w:tcPr>
            <w:tcW w:type="dxa" w:w="5760"/>
          </w:tcPr>
          <w:p>
            <w:pPr>
              <w:spacing w:before="20" w:after="20"/>
            </w:pPr>
            <w:r>
              <w:rPr>
                <w:rFonts w:ascii="Calibri" w:hAnsi="Calibri"/>
                <w:b w:val="0"/>
                <w:i w:val="0"/>
                <w:color w:val="1A2B33"/>
                <w:sz w:val="18"/>
              </w:rPr>
              <w:t>FUENTES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09   </w:t>
            </w:r>
            <w:r>
              <w:rPr>
                <w:rFonts w:ascii="Calibri" w:hAnsi="Calibri"/>
                <w:b/>
                <w:i w:val="0"/>
                <w:color w:val="FFFFFF"/>
                <w:sz w:val="25"/>
              </w:rPr>
              <w:t>ARQUITECTURA TÉCNICA</w:t>
            </w:r>
          </w:p>
        </w:tc>
      </w:tr>
    </w:tbl>
    <w:p>
      <w:pPr>
        <w:spacing w:after="40"/>
      </w:pPr>
    </w:p>
    <w:p>
      <w:pPr>
        <w:spacing w:before="40" w:after="80" w:line="276" w:lineRule="auto"/>
      </w:pPr>
      <w:r>
        <w:rPr>
          <w:rFonts w:ascii="Calibri" w:hAnsi="Calibri"/>
          <w:b w:val="0"/>
          <w:i w:val="0"/>
          <w:color w:val="1A2B33"/>
          <w:sz w:val="20"/>
        </w:rPr>
        <w:t>El libro contiene 14 hojas (14 visibles y 0 ocultas o auxiliares). Incorpora aproximadamente 310 fórmulas, 3 gráficos, 3 tablas estructuradas y 20 validaciones de datos.</w:t>
      </w:r>
    </w:p>
    <w:p>
      <w:pPr>
        <w:spacing w:before="40" w:after="80" w:line="276" w:lineRule="auto"/>
      </w:pPr>
      <w:r>
        <w:rPr>
          <w:rFonts w:ascii="Calibri" w:hAnsi="Calibri"/>
          <w:b w:val="0"/>
          <w:i w:val="0"/>
          <w:color w:val="45565E"/>
          <w:sz w:val="19"/>
        </w:rPr>
        <w:t>El producto puede incluir hojas internas de cálculo, configuración, validación o control de calidad (por ejemplo CALCULOS, CONFIG, PRUEBAS o CHANGELOG). Estas hojas sostienen el motor y la trazabilidad, y no requieren manipulación por parte del usuario final.</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10   </w:t>
            </w:r>
            <w:r>
              <w:rPr>
                <w:rFonts w:ascii="Calibri" w:hAnsi="Calibri"/>
                <w:b/>
                <w:i w:val="0"/>
                <w:color w:val="FFFFFF"/>
                <w:sz w:val="25"/>
              </w:rPr>
              <w:t>EJEMPLO DE USO (CASO FICTICIO)</w:t>
            </w:r>
          </w:p>
        </w:tc>
      </w:tr>
    </w:tbl>
    <w:p>
      <w:pPr>
        <w:spacing w:after="40"/>
      </w:pPr>
    </w:p>
    <w:p>
      <w:pPr>
        <w:spacing w:before="40" w:after="80" w:line="276" w:lineRule="auto"/>
      </w:pPr>
      <w:r>
        <w:rPr>
          <w:rFonts w:ascii="Calibri" w:hAnsi="Calibri"/>
          <w:b w:val="0"/>
          <w:i/>
          <w:color w:val="45565E"/>
          <w:sz w:val="18"/>
        </w:rPr>
        <w:t>Caso ilustrativo y ficticio. No corresponde a una persona real.</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400"/>
        <w:gridCol w:w="6960"/>
      </w:tblGrid>
      <w:tr>
        <w:tc>
          <w:tcPr>
            <w:tcW w:type="dxa" w:w="2400"/>
            <w:shd w:val="clear" w:color="auto" w:fill="EDF2F1"/>
          </w:tcPr>
          <w:p>
            <w:pPr>
              <w:spacing w:before="20" w:after="20"/>
            </w:pPr>
            <w:r>
              <w:rPr>
                <w:rFonts w:ascii="Calibri" w:hAnsi="Calibri"/>
                <w:b/>
                <w:i w:val="0"/>
                <w:color w:val="0A3E3A"/>
                <w:sz w:val="19"/>
              </w:rPr>
              <w:t>Entrada</w:t>
            </w:r>
          </w:p>
        </w:tc>
        <w:tc>
          <w:tcPr>
            <w:tcW w:type="dxa" w:w="6960"/>
          </w:tcPr>
          <w:p>
            <w:pPr>
              <w:spacing w:before="20" w:after="20"/>
            </w:pPr>
            <w:r>
              <w:rPr>
                <w:rFonts w:ascii="Calibri" w:hAnsi="Calibri"/>
                <w:b w:val="0"/>
                <w:i w:val="0"/>
                <w:color w:val="1A2B33"/>
                <w:sz w:val="19"/>
              </w:rPr>
              <w:t>Adulto ficticio: sexo, edad, peso (kg), talla (m) y nivel de actividad.</w:t>
            </w:r>
          </w:p>
        </w:tc>
      </w:tr>
      <w:tr>
        <w:tc>
          <w:tcPr>
            <w:tcW w:type="dxa" w:w="2400"/>
            <w:shd w:val="clear" w:color="auto" w:fill="EDF2F1"/>
          </w:tcPr>
          <w:p>
            <w:pPr>
              <w:spacing w:before="20" w:after="20"/>
            </w:pPr>
            <w:r>
              <w:rPr>
                <w:rFonts w:ascii="Calibri" w:hAnsi="Calibri"/>
                <w:b/>
                <w:i w:val="0"/>
                <w:color w:val="0A3E3A"/>
                <w:sz w:val="19"/>
              </w:rPr>
              <w:t>Proceso</w:t>
            </w:r>
          </w:p>
        </w:tc>
        <w:tc>
          <w:tcPr>
            <w:tcW w:type="dxa" w:w="6960"/>
          </w:tcPr>
          <w:p>
            <w:pPr>
              <w:spacing w:before="20" w:after="20"/>
            </w:pPr>
            <w:r>
              <w:rPr>
                <w:rFonts w:ascii="Calibri" w:hAnsi="Calibri"/>
                <w:b w:val="0"/>
                <w:i w:val="0"/>
                <w:color w:val="1A2B33"/>
                <w:sz w:val="19"/>
              </w:rPr>
              <w:t>Se ingresan los datos y se selecciona el PAL del catálogo.</w:t>
            </w:r>
          </w:p>
        </w:tc>
      </w:tr>
      <w:tr>
        <w:tc>
          <w:tcPr>
            <w:tcW w:type="dxa" w:w="2400"/>
            <w:shd w:val="clear" w:color="auto" w:fill="EDF2F1"/>
          </w:tcPr>
          <w:p>
            <w:pPr>
              <w:spacing w:before="20" w:after="20"/>
            </w:pPr>
            <w:r>
              <w:rPr>
                <w:rFonts w:ascii="Calibri" w:hAnsi="Calibri"/>
                <w:b/>
                <w:i w:val="0"/>
                <w:color w:val="0A3E3A"/>
                <w:sz w:val="19"/>
              </w:rPr>
              <w:t>Resultado</w:t>
            </w:r>
          </w:p>
        </w:tc>
        <w:tc>
          <w:tcPr>
            <w:tcW w:type="dxa" w:w="6960"/>
          </w:tcPr>
          <w:p>
            <w:pPr>
              <w:spacing w:before="20" w:after="20"/>
            </w:pPr>
            <w:r>
              <w:rPr>
                <w:rFonts w:ascii="Calibri" w:hAnsi="Calibri"/>
                <w:b w:val="0"/>
                <w:i w:val="0"/>
                <w:color w:val="1A2B33"/>
                <w:sz w:val="19"/>
              </w:rPr>
              <w:t>El libro calcula TMB, GET, IMC y su clasificación OMS.</w:t>
            </w:r>
          </w:p>
        </w:tc>
      </w:tr>
      <w:tr>
        <w:tc>
          <w:tcPr>
            <w:tcW w:type="dxa" w:w="2400"/>
            <w:shd w:val="clear" w:color="auto" w:fill="EDF2F1"/>
          </w:tcPr>
          <w:p>
            <w:pPr>
              <w:spacing w:before="20" w:after="20"/>
            </w:pPr>
            <w:r>
              <w:rPr>
                <w:rFonts w:ascii="Calibri" w:hAnsi="Calibri"/>
                <w:b/>
                <w:i w:val="0"/>
                <w:color w:val="0A3E3A"/>
                <w:sz w:val="19"/>
              </w:rPr>
              <w:t>Interpretación educativa</w:t>
            </w:r>
          </w:p>
        </w:tc>
        <w:tc>
          <w:tcPr>
            <w:tcW w:type="dxa" w:w="6960"/>
          </w:tcPr>
          <w:p>
            <w:pPr>
              <w:spacing w:before="20" w:after="20"/>
            </w:pPr>
            <w:r>
              <w:rPr>
                <w:rFonts w:ascii="Calibri" w:hAnsi="Calibri"/>
                <w:b w:val="0"/>
                <w:i w:val="0"/>
                <w:color w:val="1A2B33"/>
                <w:sz w:val="19"/>
              </w:rPr>
              <w:t>El IMC se interpreta junto con el contexto; no reemplaza la evaluación profesional.</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11   </w:t>
            </w:r>
            <w:r>
              <w:rPr>
                <w:rFonts w:ascii="Calibri" w:hAnsi="Calibri"/>
                <w:b/>
                <w:i w:val="0"/>
                <w:color w:val="FFFFFF"/>
                <w:sz w:val="25"/>
              </w:rPr>
              <w:t>CAPTURAS DEL PRODUCTO</w:t>
            </w:r>
          </w:p>
        </w:tc>
      </w:tr>
    </w:tbl>
    <w:p>
      <w:pPr>
        <w:spacing w:after="40"/>
      </w:pPr>
    </w:p>
    <w:p>
      <w:pPr>
        <w:spacing w:before="40" w:after="40" w:line="276" w:lineRule="auto"/>
      </w:pPr>
      <w:r>
        <w:rPr>
          <w:rFonts w:ascii="Calibri" w:hAnsi="Calibri"/>
          <w:b/>
          <w:i w:val="0"/>
          <w:color w:val="C08A2B"/>
          <w:sz w:val="20"/>
        </w:rPr>
        <w:t>CAPTURA_NO_GENERADA_POR_LIMITACIÓN_DEL_ENTORNO.</w:t>
      </w:r>
    </w:p>
    <w:p>
      <w:pPr>
        <w:spacing w:before="40" w:after="80" w:line="276" w:lineRule="auto"/>
      </w:pPr>
      <w:r>
        <w:rPr>
          <w:rFonts w:ascii="Calibri" w:hAnsi="Calibri"/>
          <w:b w:val="0"/>
          <w:i w:val="0"/>
          <w:color w:val="45565E"/>
          <w:sz w:val="19"/>
        </w:rPr>
        <w:t>El entorno de generación de este portafolio no renderiza de forma fiel el archivo XLSX original, por lo que no se incluyen capturas simuladas. Las hojas reales del libro pueden abrirse en Microsoft Excel según la compatibilidad indicada.</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12   </w:t>
            </w:r>
            <w:r>
              <w:rPr>
                <w:rFonts w:ascii="Calibri" w:hAnsi="Calibri"/>
                <w:b/>
                <w:i w:val="0"/>
                <w:color w:val="FFFFFF"/>
                <w:sz w:val="25"/>
              </w:rPr>
              <w:t>METODOLOGÍA</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1500"/>
        <w:gridCol w:w="2600"/>
        <w:gridCol w:w="1500"/>
        <w:gridCol w:w="1760"/>
        <w:gridCol w:w="2000"/>
      </w:tblGrid>
      <w:tr>
        <w:tc>
          <w:tcPr>
            <w:tcW w:type="dxa" w:w="1500"/>
            <w:shd w:val="clear" w:color="auto" w:fill="0F5A54"/>
          </w:tcPr>
          <w:p>
            <w:pPr>
              <w:spacing w:before="20" w:after="20"/>
            </w:pPr>
            <w:r>
              <w:rPr>
                <w:rFonts w:ascii="Calibri" w:hAnsi="Calibri"/>
                <w:b/>
                <w:i w:val="0"/>
                <w:color w:val="FFFFFF"/>
                <w:sz w:val="18"/>
              </w:rPr>
              <w:t>Tipo</w:t>
            </w:r>
          </w:p>
        </w:tc>
        <w:tc>
          <w:tcPr>
            <w:tcW w:type="dxa" w:w="2600"/>
            <w:shd w:val="clear" w:color="auto" w:fill="0F5A54"/>
          </w:tcPr>
          <w:p>
            <w:pPr>
              <w:spacing w:before="20" w:after="20"/>
            </w:pPr>
            <w:r>
              <w:rPr>
                <w:rFonts w:ascii="Calibri" w:hAnsi="Calibri"/>
                <w:b/>
                <w:i w:val="0"/>
                <w:color w:val="FFFFFF"/>
                <w:sz w:val="18"/>
              </w:rPr>
              <w:t>Elemento</w:t>
            </w:r>
          </w:p>
        </w:tc>
        <w:tc>
          <w:tcPr>
            <w:tcW w:type="dxa" w:w="1500"/>
            <w:shd w:val="clear" w:color="auto" w:fill="0F5A54"/>
          </w:tcPr>
          <w:p>
            <w:pPr>
              <w:spacing w:before="20" w:after="20"/>
            </w:pPr>
            <w:r>
              <w:rPr>
                <w:rFonts w:ascii="Calibri" w:hAnsi="Calibri"/>
                <w:b/>
                <w:i w:val="0"/>
                <w:color w:val="FFFFFF"/>
                <w:sz w:val="18"/>
              </w:rPr>
              <w:t>Población</w:t>
            </w:r>
          </w:p>
        </w:tc>
        <w:tc>
          <w:tcPr>
            <w:tcW w:type="dxa" w:w="1760"/>
            <w:shd w:val="clear" w:color="auto" w:fill="0F5A54"/>
          </w:tcPr>
          <w:p>
            <w:pPr>
              <w:spacing w:before="20" w:after="20"/>
            </w:pPr>
            <w:r>
              <w:rPr>
                <w:rFonts w:ascii="Calibri" w:hAnsi="Calibri"/>
                <w:b/>
                <w:i w:val="0"/>
                <w:color w:val="FFFFFF"/>
                <w:sz w:val="18"/>
              </w:rPr>
              <w:t>Aplicación</w:t>
            </w:r>
          </w:p>
        </w:tc>
        <w:tc>
          <w:tcPr>
            <w:tcW w:type="dxa" w:w="2000"/>
            <w:shd w:val="clear" w:color="auto" w:fill="0F5A54"/>
          </w:tcPr>
          <w:p>
            <w:pPr>
              <w:spacing w:before="20" w:after="20"/>
            </w:pPr>
            <w:r>
              <w:rPr>
                <w:rFonts w:ascii="Calibri" w:hAnsi="Calibri"/>
                <w:b/>
                <w:i w:val="0"/>
                <w:color w:val="FFFFFF"/>
                <w:sz w:val="18"/>
              </w:rPr>
              <w:t>Limitación</w:t>
            </w:r>
          </w:p>
        </w:tc>
      </w:tr>
      <w:tr>
        <w:tc>
          <w:tcPr>
            <w:tcW w:type="dxa" w:w="1500"/>
          </w:tcPr>
          <w:p>
            <w:pPr>
              <w:spacing w:before="20" w:after="20"/>
            </w:pPr>
            <w:r>
              <w:rPr>
                <w:rFonts w:ascii="Calibri" w:hAnsi="Calibri"/>
                <w:b w:val="0"/>
                <w:i w:val="0"/>
                <w:color w:val="1A2B33"/>
                <w:sz w:val="18"/>
              </w:rPr>
              <w:t>ECUACIÓN</w:t>
            </w:r>
          </w:p>
        </w:tc>
        <w:tc>
          <w:tcPr>
            <w:tcW w:type="dxa" w:w="2600"/>
          </w:tcPr>
          <w:p>
            <w:pPr>
              <w:spacing w:before="20" w:after="20"/>
            </w:pPr>
            <w:r>
              <w:rPr>
                <w:rFonts w:ascii="Calibri" w:hAnsi="Calibri"/>
                <w:b w:val="0"/>
                <w:i w:val="0"/>
                <w:color w:val="1A2B33"/>
                <w:sz w:val="18"/>
              </w:rPr>
              <w:t>Mifflin-St Jeor (TMB)</w:t>
            </w:r>
          </w:p>
        </w:tc>
        <w:tc>
          <w:tcPr>
            <w:tcW w:type="dxa" w:w="1500"/>
          </w:tcPr>
          <w:p>
            <w:pPr>
              <w:spacing w:before="20" w:after="20"/>
            </w:pPr>
            <w:r>
              <w:rPr>
                <w:rFonts w:ascii="Calibri" w:hAnsi="Calibri"/>
                <w:b w:val="0"/>
                <w:i w:val="0"/>
                <w:color w:val="1A2B33"/>
                <w:sz w:val="18"/>
              </w:rPr>
              <w:t>Adultos</w:t>
            </w:r>
          </w:p>
        </w:tc>
        <w:tc>
          <w:tcPr>
            <w:tcW w:type="dxa" w:w="1760"/>
          </w:tcPr>
          <w:p>
            <w:pPr>
              <w:spacing w:before="20" w:after="20"/>
            </w:pPr>
            <w:r>
              <w:rPr>
                <w:rFonts w:ascii="Calibri" w:hAnsi="Calibri"/>
                <w:b w:val="0"/>
                <w:i w:val="0"/>
                <w:color w:val="1A2B33"/>
                <w:sz w:val="18"/>
              </w:rPr>
              <w:t>Cálculo de TMB/GET</w:t>
            </w:r>
          </w:p>
        </w:tc>
        <w:tc>
          <w:tcPr>
            <w:tcW w:type="dxa" w:w="2000"/>
          </w:tcPr>
          <w:p>
            <w:pPr>
              <w:spacing w:before="20" w:after="20"/>
            </w:pPr>
            <w:r>
              <w:rPr>
                <w:rFonts w:ascii="Calibri" w:hAnsi="Calibri"/>
                <w:b w:val="0"/>
                <w:i w:val="0"/>
                <w:color w:val="1A2B33"/>
                <w:sz w:val="18"/>
              </w:rPr>
              <w:t>Requiere datos válidos</w:t>
            </w:r>
          </w:p>
        </w:tc>
      </w:tr>
      <w:tr>
        <w:tc>
          <w:tcPr>
            <w:tcW w:type="dxa" w:w="1500"/>
            <w:shd w:val="clear" w:color="auto" w:fill="F6F8F8"/>
          </w:tcPr>
          <w:p>
            <w:pPr>
              <w:spacing w:before="20" w:after="20"/>
            </w:pPr>
            <w:r>
              <w:rPr>
                <w:rFonts w:ascii="Calibri" w:hAnsi="Calibri"/>
                <w:b w:val="0"/>
                <w:i w:val="0"/>
                <w:color w:val="1A2B33"/>
                <w:sz w:val="18"/>
              </w:rPr>
              <w:t>ECUACIÓN</w:t>
            </w:r>
          </w:p>
        </w:tc>
        <w:tc>
          <w:tcPr>
            <w:tcW w:type="dxa" w:w="2600"/>
            <w:shd w:val="clear" w:color="auto" w:fill="F6F8F8"/>
          </w:tcPr>
          <w:p>
            <w:pPr>
              <w:spacing w:before="20" w:after="20"/>
            </w:pPr>
            <w:r>
              <w:rPr>
                <w:rFonts w:ascii="Calibri" w:hAnsi="Calibri"/>
                <w:b w:val="0"/>
                <w:i w:val="0"/>
                <w:color w:val="1A2B33"/>
                <w:sz w:val="18"/>
              </w:rPr>
              <w:t>IMC = peso (kg) / talla² (m²)</w:t>
            </w:r>
          </w:p>
        </w:tc>
        <w:tc>
          <w:tcPr>
            <w:tcW w:type="dxa" w:w="1500"/>
            <w:shd w:val="clear" w:color="auto" w:fill="F6F8F8"/>
          </w:tcPr>
          <w:p>
            <w:pPr>
              <w:spacing w:before="20" w:after="20"/>
            </w:pPr>
            <w:r>
              <w:rPr>
                <w:rFonts w:ascii="Calibri" w:hAnsi="Calibri"/>
                <w:b w:val="0"/>
                <w:i w:val="0"/>
                <w:color w:val="1A2B33"/>
                <w:sz w:val="18"/>
              </w:rPr>
              <w:t>Adultos</w:t>
            </w:r>
          </w:p>
        </w:tc>
        <w:tc>
          <w:tcPr>
            <w:tcW w:type="dxa" w:w="1760"/>
            <w:shd w:val="clear" w:color="auto" w:fill="F6F8F8"/>
          </w:tcPr>
          <w:p>
            <w:pPr>
              <w:spacing w:before="20" w:after="20"/>
            </w:pPr>
            <w:r>
              <w:rPr>
                <w:rFonts w:ascii="Calibri" w:hAnsi="Calibri"/>
                <w:b w:val="0"/>
                <w:i w:val="0"/>
                <w:color w:val="1A2B33"/>
                <w:sz w:val="18"/>
              </w:rPr>
              <w:t>Índice de masa corporal</w:t>
            </w:r>
          </w:p>
        </w:tc>
        <w:tc>
          <w:tcPr>
            <w:tcW w:type="dxa" w:w="2000"/>
            <w:shd w:val="clear" w:color="auto" w:fill="F6F8F8"/>
          </w:tcPr>
          <w:p>
            <w:pPr>
              <w:spacing w:before="20" w:after="20"/>
            </w:pPr>
            <w:r>
              <w:rPr>
                <w:rFonts w:ascii="Calibri" w:hAnsi="Calibri"/>
                <w:b w:val="0"/>
                <w:i w:val="0"/>
                <w:color w:val="1A2B33"/>
                <w:sz w:val="18"/>
              </w:rPr>
              <w:t>No distingue masa grasa de magra</w:t>
            </w:r>
          </w:p>
        </w:tc>
      </w:tr>
      <w:tr>
        <w:tc>
          <w:tcPr>
            <w:tcW w:type="dxa" w:w="1500"/>
          </w:tcPr>
          <w:p>
            <w:pPr>
              <w:spacing w:before="20" w:after="20"/>
            </w:pPr>
            <w:r>
              <w:rPr>
                <w:rFonts w:ascii="Calibri" w:hAnsi="Calibri"/>
                <w:b w:val="0"/>
                <w:i w:val="0"/>
                <w:color w:val="1A2B33"/>
                <w:sz w:val="18"/>
              </w:rPr>
              <w:t>CRITERIO</w:t>
            </w:r>
          </w:p>
        </w:tc>
        <w:tc>
          <w:tcPr>
            <w:tcW w:type="dxa" w:w="2600"/>
          </w:tcPr>
          <w:p>
            <w:pPr>
              <w:spacing w:before="20" w:after="20"/>
            </w:pPr>
            <w:r>
              <w:rPr>
                <w:rFonts w:ascii="Calibri" w:hAnsi="Calibri"/>
                <w:b w:val="0"/>
                <w:i w:val="0"/>
                <w:color w:val="1A2B33"/>
                <w:sz w:val="18"/>
              </w:rPr>
              <w:t>Puntos de corte OMS para adultos (bajo peso &lt;18,5; normopeso 18,5–24,9; sobrepeso 25,0–29,9; obesidad I 30,0–34,9; II 35,0–39,9; III ≥40,0)</w:t>
            </w:r>
          </w:p>
        </w:tc>
        <w:tc>
          <w:tcPr>
            <w:tcW w:type="dxa" w:w="1500"/>
          </w:tcPr>
          <w:p>
            <w:pPr>
              <w:spacing w:before="20" w:after="20"/>
            </w:pPr>
            <w:r>
              <w:rPr>
                <w:rFonts w:ascii="Calibri" w:hAnsi="Calibri"/>
                <w:b w:val="0"/>
                <w:i w:val="0"/>
                <w:color w:val="1A2B33"/>
                <w:sz w:val="18"/>
              </w:rPr>
              <w:t>Adultos</w:t>
            </w:r>
          </w:p>
        </w:tc>
        <w:tc>
          <w:tcPr>
            <w:tcW w:type="dxa" w:w="1760"/>
          </w:tcPr>
          <w:p>
            <w:pPr>
              <w:spacing w:before="20" w:after="20"/>
            </w:pPr>
            <w:r>
              <w:rPr>
                <w:rFonts w:ascii="Calibri" w:hAnsi="Calibri"/>
                <w:b w:val="0"/>
                <w:i w:val="0"/>
                <w:color w:val="1A2B33"/>
                <w:sz w:val="18"/>
              </w:rPr>
              <w:t>Clasificación del IMC</w:t>
            </w:r>
          </w:p>
        </w:tc>
        <w:tc>
          <w:tcPr>
            <w:tcW w:type="dxa" w:w="2000"/>
          </w:tcPr>
          <w:p>
            <w:pPr>
              <w:spacing w:before="20" w:after="20"/>
            </w:pPr>
            <w:r>
              <w:rPr>
                <w:rFonts w:ascii="Calibri" w:hAnsi="Calibri"/>
                <w:b w:val="0"/>
                <w:i w:val="0"/>
                <w:color w:val="1A2B33"/>
                <w:sz w:val="18"/>
              </w:rPr>
              <w:t>Interpretación profesional</w:t>
            </w:r>
          </w:p>
        </w:tc>
      </w:tr>
      <w:tr>
        <w:tc>
          <w:tcPr>
            <w:tcW w:type="dxa" w:w="1500"/>
            <w:shd w:val="clear" w:color="auto" w:fill="F6F8F8"/>
          </w:tcPr>
          <w:p>
            <w:pPr>
              <w:spacing w:before="20" w:after="20"/>
            </w:pPr>
            <w:r>
              <w:rPr>
                <w:rFonts w:ascii="Calibri" w:hAnsi="Calibri"/>
                <w:b w:val="0"/>
                <w:i w:val="0"/>
                <w:color w:val="1A2B33"/>
                <w:sz w:val="18"/>
              </w:rPr>
              <w:t>DECISIÓN_DE_INGENIERÍA</w:t>
            </w:r>
          </w:p>
        </w:tc>
        <w:tc>
          <w:tcPr>
            <w:tcW w:type="dxa" w:w="2600"/>
            <w:shd w:val="clear" w:color="auto" w:fill="F6F8F8"/>
          </w:tcPr>
          <w:p>
            <w:pPr>
              <w:spacing w:before="20" w:after="20"/>
            </w:pPr>
            <w:r>
              <w:rPr>
                <w:rFonts w:ascii="Calibri" w:hAnsi="Calibri"/>
                <w:b w:val="0"/>
                <w:i w:val="0"/>
                <w:color w:val="1A2B33"/>
                <w:sz w:val="18"/>
              </w:rPr>
              <w:t>Catálogo de PAL propio (NMX-PAL-2026-08-v1)</w:t>
            </w:r>
          </w:p>
        </w:tc>
        <w:tc>
          <w:tcPr>
            <w:tcW w:type="dxa" w:w="1500"/>
            <w:shd w:val="clear" w:color="auto" w:fill="F6F8F8"/>
          </w:tcPr>
          <w:p>
            <w:pPr>
              <w:spacing w:before="20" w:after="20"/>
            </w:pPr>
            <w:r>
              <w:rPr>
                <w:rFonts w:ascii="Calibri" w:hAnsi="Calibri"/>
                <w:b w:val="0"/>
                <w:i w:val="0"/>
                <w:color w:val="1A2B33"/>
                <w:sz w:val="18"/>
              </w:rPr>
              <w:t>Adultos</w:t>
            </w:r>
          </w:p>
        </w:tc>
        <w:tc>
          <w:tcPr>
            <w:tcW w:type="dxa" w:w="1760"/>
            <w:shd w:val="clear" w:color="auto" w:fill="F6F8F8"/>
          </w:tcPr>
          <w:p>
            <w:pPr>
              <w:spacing w:before="20" w:after="20"/>
            </w:pPr>
            <w:r>
              <w:rPr>
                <w:rFonts w:ascii="Calibri" w:hAnsi="Calibri"/>
                <w:b w:val="0"/>
                <w:i w:val="0"/>
                <w:color w:val="1A2B33"/>
                <w:sz w:val="18"/>
              </w:rPr>
              <w:t>Ajuste por actividad</w:t>
            </w:r>
          </w:p>
        </w:tc>
        <w:tc>
          <w:tcPr>
            <w:tcW w:type="dxa" w:w="2000"/>
            <w:shd w:val="clear" w:color="auto" w:fill="F6F8F8"/>
          </w:tcPr>
          <w:p>
            <w:pPr>
              <w:spacing w:before="20" w:after="20"/>
            </w:pPr>
            <w:r>
              <w:rPr>
                <w:rFonts w:ascii="Calibri" w:hAnsi="Calibri"/>
                <w:b w:val="0"/>
                <w:i w:val="0"/>
                <w:color w:val="1A2B33"/>
                <w:sz w:val="18"/>
              </w:rPr>
              <w:t>Factores tabulados</w:t>
            </w:r>
          </w:p>
        </w:tc>
      </w:tr>
    </w:tbl>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13   </w:t>
            </w:r>
            <w:r>
              <w:rPr>
                <w:rFonts w:ascii="Calibri" w:hAnsi="Calibri"/>
                <w:b/>
                <w:i w:val="0"/>
                <w:color w:val="FFFFFF"/>
                <w:sz w:val="25"/>
              </w:rPr>
              <w:t>FUENTES PRINCIPALES · TRAZABILIDAD</w:t>
            </w:r>
          </w:p>
        </w:tc>
      </w:tr>
    </w:tbl>
    <w:p>
      <w:pPr>
        <w:spacing w:after="40"/>
      </w:pP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50" w:type="dxa"/>
          <w:bottom w:w="50" w:type="dxa"/>
          <w:left w:w="90" w:type="dxa"/>
          <w:right w:w="90" w:type="dxa"/>
        </w:tblCellMar>
        <w:tblW w:w="9360" w:type="dxa"/>
      </w:tblPr>
      <w:tblGrid>
        <w:gridCol w:w="2200"/>
        <w:gridCol w:w="2600"/>
        <w:gridCol w:w="700"/>
        <w:gridCol w:w="2160"/>
        <w:gridCol w:w="1700"/>
      </w:tblGrid>
      <w:tr>
        <w:tc>
          <w:tcPr>
            <w:tcW w:type="dxa" w:w="2200"/>
            <w:shd w:val="clear" w:color="auto" w:fill="0F5A54"/>
          </w:tcPr>
          <w:p>
            <w:pPr>
              <w:spacing w:before="20" w:after="20"/>
            </w:pPr>
            <w:r>
              <w:rPr>
                <w:rFonts w:ascii="Calibri" w:hAnsi="Calibri"/>
                <w:b/>
                <w:i w:val="0"/>
                <w:color w:val="FFFFFF"/>
                <w:sz w:val="17"/>
              </w:rPr>
              <w:t>Institución / autor</w:t>
            </w:r>
          </w:p>
        </w:tc>
        <w:tc>
          <w:tcPr>
            <w:tcW w:type="dxa" w:w="2600"/>
            <w:shd w:val="clear" w:color="auto" w:fill="0F5A54"/>
          </w:tcPr>
          <w:p>
            <w:pPr>
              <w:spacing w:before="20" w:after="20"/>
            </w:pPr>
            <w:r>
              <w:rPr>
                <w:rFonts w:ascii="Calibri" w:hAnsi="Calibri"/>
                <w:b/>
                <w:i w:val="0"/>
                <w:color w:val="FFFFFF"/>
                <w:sz w:val="17"/>
              </w:rPr>
              <w:t>Documento</w:t>
            </w:r>
          </w:p>
        </w:tc>
        <w:tc>
          <w:tcPr>
            <w:tcW w:type="dxa" w:w="700"/>
            <w:shd w:val="clear" w:color="auto" w:fill="0F5A54"/>
          </w:tcPr>
          <w:p>
            <w:pPr>
              <w:spacing w:before="20" w:after="20"/>
            </w:pPr>
            <w:r>
              <w:rPr>
                <w:rFonts w:ascii="Calibri" w:hAnsi="Calibri"/>
                <w:b/>
                <w:i w:val="0"/>
                <w:color w:val="FFFFFF"/>
                <w:sz w:val="17"/>
              </w:rPr>
              <w:t>Año</w:t>
            </w:r>
          </w:p>
        </w:tc>
        <w:tc>
          <w:tcPr>
            <w:tcW w:type="dxa" w:w="2160"/>
            <w:shd w:val="clear" w:color="auto" w:fill="0F5A54"/>
          </w:tcPr>
          <w:p>
            <w:pPr>
              <w:spacing w:before="20" w:after="20"/>
            </w:pPr>
            <w:r>
              <w:rPr>
                <w:rFonts w:ascii="Calibri" w:hAnsi="Calibri"/>
                <w:b/>
                <w:i w:val="0"/>
                <w:color w:val="FFFFFF"/>
                <w:sz w:val="17"/>
              </w:rPr>
              <w:t>Uso dentro del NMX</w:t>
            </w:r>
          </w:p>
        </w:tc>
        <w:tc>
          <w:tcPr>
            <w:tcW w:type="dxa" w:w="1700"/>
            <w:shd w:val="clear" w:color="auto" w:fill="0F5A54"/>
          </w:tcPr>
          <w:p>
            <w:pPr>
              <w:spacing w:before="20" w:after="20"/>
            </w:pPr>
            <w:r>
              <w:rPr>
                <w:rFonts w:ascii="Calibri" w:hAnsi="Calibri"/>
                <w:b/>
                <w:i w:val="0"/>
                <w:color w:val="FFFFFF"/>
                <w:sz w:val="17"/>
              </w:rPr>
              <w:t>Tipo</w:t>
            </w:r>
          </w:p>
        </w:tc>
      </w:tr>
      <w:tr>
        <w:tc>
          <w:tcPr>
            <w:tcW w:type="dxa" w:w="2200"/>
          </w:tcPr>
          <w:p>
            <w:pPr>
              <w:spacing w:before="20" w:after="20"/>
            </w:pPr>
            <w:r>
              <w:rPr>
                <w:rFonts w:ascii="Calibri" w:hAnsi="Calibri"/>
                <w:b w:val="0"/>
                <w:i w:val="0"/>
                <w:color w:val="1A2B33"/>
                <w:sz w:val="17"/>
              </w:rPr>
              <w:t>Mifflin MD, St Jeor ST y cols.</w:t>
            </w:r>
          </w:p>
        </w:tc>
        <w:tc>
          <w:tcPr>
            <w:tcW w:type="dxa" w:w="2600"/>
          </w:tcPr>
          <w:p>
            <w:pPr>
              <w:spacing w:before="20" w:after="20"/>
            </w:pPr>
            <w:r>
              <w:rPr>
                <w:rFonts w:ascii="Calibri" w:hAnsi="Calibri"/>
                <w:b w:val="0"/>
                <w:i w:val="0"/>
                <w:color w:val="1A2B33"/>
                <w:sz w:val="17"/>
              </w:rPr>
              <w:t>Ecuación predictiva de gasto energético en reposo</w:t>
            </w:r>
          </w:p>
        </w:tc>
        <w:tc>
          <w:tcPr>
            <w:tcW w:type="dxa" w:w="700"/>
          </w:tcPr>
          <w:p>
            <w:pPr>
              <w:spacing w:before="20" w:after="20"/>
            </w:pPr>
            <w:r>
              <w:rPr>
                <w:rFonts w:ascii="Calibri" w:hAnsi="Calibri"/>
                <w:b w:val="0"/>
                <w:i w:val="0"/>
                <w:color w:val="1A2B33"/>
                <w:sz w:val="17"/>
              </w:rPr>
              <w:t>1990</w:t>
            </w:r>
          </w:p>
        </w:tc>
        <w:tc>
          <w:tcPr>
            <w:tcW w:type="dxa" w:w="2160"/>
          </w:tcPr>
          <w:p>
            <w:pPr>
              <w:spacing w:before="20" w:after="20"/>
            </w:pPr>
            <w:r>
              <w:rPr>
                <w:rFonts w:ascii="Calibri" w:hAnsi="Calibri"/>
                <w:b w:val="0"/>
                <w:i w:val="0"/>
                <w:color w:val="1A2B33"/>
                <w:sz w:val="17"/>
              </w:rPr>
              <w:t>Cálculo de TMB</w:t>
            </w:r>
          </w:p>
        </w:tc>
        <w:tc>
          <w:tcPr>
            <w:tcW w:type="dxa" w:w="1700"/>
          </w:tcPr>
          <w:p>
            <w:pPr>
              <w:spacing w:before="20" w:after="20"/>
            </w:pPr>
            <w:r>
              <w:rPr>
                <w:rFonts w:ascii="Calibri" w:hAnsi="Calibri"/>
                <w:b w:val="0"/>
                <w:i w:val="0"/>
                <w:color w:val="1A2B33"/>
                <w:sz w:val="17"/>
              </w:rPr>
              <w:t>FUENTE_PRIMARIA</w:t>
            </w:r>
          </w:p>
        </w:tc>
      </w:tr>
      <w:tr>
        <w:tc>
          <w:tcPr>
            <w:tcW w:type="dxa" w:w="2200"/>
            <w:shd w:val="clear" w:color="auto" w:fill="F6F8F8"/>
          </w:tcPr>
          <w:p>
            <w:pPr>
              <w:spacing w:before="20" w:after="20"/>
            </w:pPr>
            <w:r>
              <w:rPr>
                <w:rFonts w:ascii="Calibri" w:hAnsi="Calibri"/>
                <w:b w:val="0"/>
                <w:i w:val="0"/>
                <w:color w:val="1A2B33"/>
                <w:sz w:val="17"/>
              </w:rPr>
              <w:t>FAO/OMS/UNU</w:t>
            </w:r>
          </w:p>
        </w:tc>
        <w:tc>
          <w:tcPr>
            <w:tcW w:type="dxa" w:w="2600"/>
            <w:shd w:val="clear" w:color="auto" w:fill="F6F8F8"/>
          </w:tcPr>
          <w:p>
            <w:pPr>
              <w:spacing w:before="20" w:after="20"/>
            </w:pPr>
            <w:r>
              <w:rPr>
                <w:rFonts w:ascii="Calibri" w:hAnsi="Calibri"/>
                <w:b w:val="0"/>
                <w:i w:val="0"/>
                <w:color w:val="1A2B33"/>
                <w:sz w:val="17"/>
              </w:rPr>
              <w:t>Niveles de actividad física (PAL)</w:t>
            </w:r>
          </w:p>
        </w:tc>
        <w:tc>
          <w:tcPr>
            <w:tcW w:type="dxa" w:w="700"/>
            <w:shd w:val="clear" w:color="auto" w:fill="F6F8F8"/>
          </w:tcPr>
          <w:p>
            <w:pPr>
              <w:spacing w:before="20" w:after="20"/>
            </w:pPr>
            <w:r>
              <w:rPr>
                <w:rFonts w:ascii="Calibri" w:hAnsi="Calibri"/>
                <w:b w:val="0"/>
                <w:i w:val="0"/>
                <w:color w:val="1A2B33"/>
                <w:sz w:val="17"/>
              </w:rPr>
              <w:t>2004</w:t>
            </w:r>
          </w:p>
        </w:tc>
        <w:tc>
          <w:tcPr>
            <w:tcW w:type="dxa" w:w="2160"/>
            <w:shd w:val="clear" w:color="auto" w:fill="F6F8F8"/>
          </w:tcPr>
          <w:p>
            <w:pPr>
              <w:spacing w:before="20" w:after="20"/>
            </w:pPr>
            <w:r>
              <w:rPr>
                <w:rFonts w:ascii="Calibri" w:hAnsi="Calibri"/>
                <w:b w:val="0"/>
                <w:i w:val="0"/>
                <w:color w:val="1A2B33"/>
                <w:sz w:val="17"/>
              </w:rPr>
              <w:t>Factores de actividad</w:t>
            </w:r>
          </w:p>
        </w:tc>
        <w:tc>
          <w:tcPr>
            <w:tcW w:type="dxa" w:w="1700"/>
            <w:shd w:val="clear" w:color="auto" w:fill="F6F8F8"/>
          </w:tcPr>
          <w:p>
            <w:pPr>
              <w:spacing w:before="20" w:after="20"/>
            </w:pPr>
            <w:r>
              <w:rPr>
                <w:rFonts w:ascii="Calibri" w:hAnsi="Calibri"/>
                <w:b w:val="0"/>
                <w:i w:val="0"/>
                <w:color w:val="1A2B33"/>
                <w:sz w:val="17"/>
              </w:rPr>
              <w:t>NORMA_OFICIAL</w:t>
            </w:r>
          </w:p>
        </w:tc>
      </w:tr>
      <w:tr>
        <w:tc>
          <w:tcPr>
            <w:tcW w:type="dxa" w:w="2200"/>
          </w:tcPr>
          <w:p>
            <w:pPr>
              <w:spacing w:before="20" w:after="20"/>
            </w:pPr>
            <w:r>
              <w:rPr>
                <w:rFonts w:ascii="Calibri" w:hAnsi="Calibri"/>
                <w:b w:val="0"/>
                <w:i w:val="0"/>
                <w:color w:val="1A2B33"/>
                <w:sz w:val="17"/>
              </w:rPr>
              <w:t>OMS</w:t>
            </w:r>
          </w:p>
        </w:tc>
        <w:tc>
          <w:tcPr>
            <w:tcW w:type="dxa" w:w="2600"/>
          </w:tcPr>
          <w:p>
            <w:pPr>
              <w:spacing w:before="20" w:after="20"/>
            </w:pPr>
            <w:r>
              <w:rPr>
                <w:rFonts w:ascii="Calibri" w:hAnsi="Calibri"/>
                <w:b w:val="0"/>
                <w:i w:val="0"/>
                <w:color w:val="1A2B33"/>
                <w:sz w:val="17"/>
              </w:rPr>
              <w:t>Clasificación del IMC en adultos</w:t>
            </w:r>
          </w:p>
        </w:tc>
        <w:tc>
          <w:tcPr>
            <w:tcW w:type="dxa" w:w="700"/>
          </w:tcPr>
          <w:p>
            <w:pPr>
              <w:spacing w:before="20" w:after="20"/>
            </w:pPr>
            <w:r>
              <w:rPr>
                <w:rFonts w:ascii="Calibri" w:hAnsi="Calibri"/>
                <w:b w:val="0"/>
                <w:i w:val="0"/>
                <w:color w:val="1A2B33"/>
                <w:sz w:val="17"/>
              </w:rPr>
              <w:t>2000</w:t>
            </w:r>
          </w:p>
        </w:tc>
        <w:tc>
          <w:tcPr>
            <w:tcW w:type="dxa" w:w="2160"/>
          </w:tcPr>
          <w:p>
            <w:pPr>
              <w:spacing w:before="20" w:after="20"/>
            </w:pPr>
            <w:r>
              <w:rPr>
                <w:rFonts w:ascii="Calibri" w:hAnsi="Calibri"/>
                <w:b w:val="0"/>
                <w:i w:val="0"/>
                <w:color w:val="1A2B33"/>
                <w:sz w:val="17"/>
              </w:rPr>
              <w:t>Puntos de corte del IMC</w:t>
            </w:r>
          </w:p>
        </w:tc>
        <w:tc>
          <w:tcPr>
            <w:tcW w:type="dxa" w:w="1700"/>
          </w:tcPr>
          <w:p>
            <w:pPr>
              <w:spacing w:before="20" w:after="20"/>
            </w:pPr>
            <w:r>
              <w:rPr>
                <w:rFonts w:ascii="Calibri" w:hAnsi="Calibri"/>
                <w:b w:val="0"/>
                <w:i w:val="0"/>
                <w:color w:val="1A2B33"/>
                <w:sz w:val="17"/>
              </w:rPr>
              <w:t>NORMA_OFICIAL</w:t>
            </w:r>
          </w:p>
        </w:tc>
      </w:tr>
    </w:tbl>
    <w:p>
      <w:pPr>
        <w:spacing w:before="60" w:after="80" w:line="276" w:lineRule="auto"/>
      </w:pPr>
      <w:r>
        <w:rPr>
          <w:rFonts w:ascii="Calibri" w:hAnsi="Calibri"/>
          <w:b w:val="0"/>
          <w:i/>
          <w:color w:val="45565E"/>
          <w:sz w:val="17"/>
        </w:rPr>
        <w:t>Las fuentes se citan como referencia. No se reproducen tablas, figuras ni textos completos protegidos. Cuando el libro lo indica, la base alimentaria (INTA 2018) es de uso personal y no se redistribuye.</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14   </w:t>
            </w:r>
            <w:r>
              <w:rPr>
                <w:rFonts w:ascii="Calibri" w:hAnsi="Calibri"/>
                <w:b/>
                <w:i w:val="0"/>
                <w:color w:val="FFFFFF"/>
                <w:sz w:val="25"/>
              </w:rPr>
              <w:t>LIMITACIONES</w:t>
            </w:r>
          </w:p>
        </w:tc>
      </w:tr>
    </w:tbl>
    <w:p>
      <w:pPr>
        <w:spacing w:after="40"/>
      </w:pPr>
    </w:p>
    <w:p>
      <w:pPr>
        <w:spacing w:before="40" w:after="80" w:line="276" w:lineRule="auto"/>
      </w:pPr>
      <w:r>
        <w:rPr>
          <w:rFonts w:ascii="Calibri" w:hAnsi="Calibri"/>
          <w:b w:val="0"/>
          <w:i w:val="0"/>
          <w:color w:val="1A2B33"/>
          <w:sz w:val="20"/>
        </w:rPr>
        <w:t>El IMC es un indicador de tamaño corporal que no distingue masa grasa de masa magra ni su distribución; debe interpretarse junto con otros datos. Las ecuaciones son estimaciones poblacionales. Exactitud matemática ≠ validación clínica; no es diagnóstico.</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15   </w:t>
            </w:r>
            <w:r>
              <w:rPr>
                <w:rFonts w:ascii="Calibri" w:hAnsi="Calibri"/>
                <w:b/>
                <w:i w:val="0"/>
                <w:color w:val="FFFFFF"/>
                <w:sz w:val="25"/>
              </w:rPr>
              <w:t>ADVERTENCIAS Y CONTROL DE CALIDAD</w:t>
            </w:r>
          </w:p>
        </w:tc>
      </w:tr>
    </w:tbl>
    <w:p>
      <w:pPr>
        <w:spacing w:after="40"/>
      </w:pP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Uso educativo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Apoyo académico y clínico profesional</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No utilizar como único criterio diagnóstico</w:t>
      </w:r>
    </w:p>
    <w:p>
      <w:pPr>
        <w:spacing w:before="80" w:after="80" w:line="276" w:lineRule="auto"/>
      </w:pPr>
      <w:r>
        <w:rPr>
          <w:rFonts w:ascii="Calibri" w:hAnsi="Calibri"/>
          <w:b w:val="0"/>
          <w:i/>
          <w:color w:val="45565E"/>
          <w:sz w:val="19"/>
        </w:rPr>
        <w:t>Esta herramienta forma parte de la suite NUTRIMETRÍA y ha sido sometida a procesos de auditoría matemática, funcional, estructural y documental cuando dicha condición está respaldada por la versión analizada. No se declara validación clínica ni exactitud del 100 %.</w:t>
      </w:r>
    </w:p>
    <w:tbl>
      <w:tblPr>
        <w:tblW w:type="auto" w:w="0"/>
        <w:jc w:val="center"/>
        <w:tblLayout w:type="fixed"/>
        <w:tblLook w:firstColumn="1" w:firstRow="1" w:lastColumn="0" w:lastRow="0" w:noHBand="0" w:noVBand="1" w:val="04A0"/>
        <w:tblBorders>
          <w:top w:val="none" w:sz="0"/>
          <w:left w:val="none" w:sz="0"/>
          <w:bottom w:val="none" w:sz="0"/>
          <w:right w:val="none" w:sz="0"/>
          <w:insideH w:val="none" w:sz="0"/>
          <w:insideV w:val="none" w:sz="0"/>
        </w:tblBorders>
        <w:tblCellMar>
          <w:top w:w="70" w:type="dxa"/>
          <w:bottom w:w="70" w:type="dxa"/>
          <w:left w:w="160" w:type="dxa"/>
          <w:right w:w="120" w:type="dxa"/>
        </w:tblCellMar>
        <w:tblW w:w="9360" w:type="dxa"/>
      </w:tblPr>
      <w:tblGrid>
        <w:gridCol w:w="10086"/>
      </w:tblGrid>
      <w:tr>
        <w:tc>
          <w:tcPr>
            <w:tcW w:type="dxa" w:w="10086"/>
            <w:shd w:val="clear" w:color="auto" w:fill="0F5A54"/>
          </w:tcPr>
          <w:p>
            <w:pPr>
              <w:spacing w:before="0" w:after="0"/>
            </w:pPr>
            <w:r>
              <w:rPr>
                <w:rFonts w:ascii="Calibri" w:hAnsi="Calibri"/>
                <w:b/>
                <w:i w:val="0"/>
                <w:color w:val="C08A2B"/>
                <w:sz w:val="25"/>
              </w:rPr>
              <w:t xml:space="preserve">16   </w:t>
            </w:r>
            <w:r>
              <w:rPr>
                <w:rFonts w:ascii="Calibri" w:hAnsi="Calibri"/>
                <w:b/>
                <w:i w:val="0"/>
                <w:color w:val="FFFFFF"/>
                <w:sz w:val="25"/>
              </w:rPr>
              <w:t>PRODUCTOS RELACIONADOS · VERSIONADO</w:t>
            </w:r>
          </w:p>
        </w:tc>
      </w:tr>
    </w:tbl>
    <w:p>
      <w:pPr>
        <w:spacing w:after="40"/>
      </w:pPr>
    </w:p>
    <w:p>
      <w:pPr>
        <w:spacing w:before="40" w:after="40" w:line="276" w:lineRule="auto"/>
      </w:pPr>
      <w:r>
        <w:rPr>
          <w:rFonts w:ascii="Calibri" w:hAnsi="Calibri"/>
          <w:b/>
          <w:i w:val="0"/>
          <w:color w:val="0A3E3A"/>
          <w:sz w:val="20"/>
        </w:rPr>
        <w:t>Productos relacionados dentro de la suite</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NMX-10 · Motor de Requerimiento Energético, MET y Efecto Térmico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NMX-09 · Calculadora de Percentiles OMS</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NMX-20 · Formulario Integral de Evaluación (Adulto, Persona Mayor, Hospital, Deporte, TEM, Frisancho)</w:t>
      </w:r>
    </w:p>
    <w:p>
      <w:pPr>
        <w:spacing w:before="20" w:after="60"/>
        <w:ind w:left="340" w:hanging="198"/>
      </w:pPr>
      <w:r>
        <w:rPr>
          <w:rFonts w:ascii="Calibri" w:hAnsi="Calibri"/>
          <w:b/>
          <w:i w:val="0"/>
          <w:color w:val="0F5A54"/>
          <w:sz w:val="19"/>
        </w:rPr>
        <w:t xml:space="preserve">▪  </w:t>
      </w:r>
      <w:r>
        <w:rPr>
          <w:rFonts w:ascii="Calibri" w:hAnsi="Calibri"/>
          <w:b w:val="0"/>
          <w:i w:val="0"/>
          <w:color w:val="1A2B33"/>
          <w:sz w:val="20"/>
        </w:rPr>
        <w:t>NMX-15 · Biblioteca Profesional de Fórmulas</w:t>
      </w:r>
    </w:p>
    <w:p>
      <w:pPr>
        <w:spacing w:before="80" w:after="40" w:line="276" w:lineRule="auto"/>
      </w:pPr>
      <w:r>
        <w:rPr>
          <w:rFonts w:ascii="Calibri" w:hAnsi="Calibri"/>
          <w:b/>
          <w:i w:val="0"/>
          <w:color w:val="0A3E3A"/>
          <w:sz w:val="20"/>
        </w:rPr>
        <w:t>Versionado</w:t>
      </w:r>
    </w:p>
    <w:tbl>
      <w:tblPr>
        <w:tblW w:type="auto" w:w="0"/>
        <w:jc w:val="center"/>
        <w:tblLook w:firstColumn="1" w:firstRow="1" w:lastColumn="0" w:lastRow="0" w:noHBand="0" w:noVBand="1" w:val="04A0"/>
        <w:tblBorders>
          <w:top w:val="single" w:sz="4" w:space="0" w:color="D6DEDD"/>
          <w:left w:val="single" w:sz="4" w:space="0" w:color="D6DEDD"/>
          <w:bottom w:val="single" w:sz="4" w:space="0" w:color="D6DEDD"/>
          <w:right w:val="single" w:sz="4" w:space="0" w:color="D6DEDD"/>
          <w:insideH w:val="single" w:sz="4" w:space="0" w:color="D6DEDD"/>
          <w:insideV w:val="single" w:sz="4" w:space="0" w:color="D6DEDD"/>
        </w:tblBorders>
        <w:tblLayout w:type="fixed"/>
        <w:tblCellMar>
          <w:top w:w="60" w:type="dxa"/>
          <w:bottom w:w="60" w:type="dxa"/>
          <w:left w:w="100" w:type="dxa"/>
          <w:right w:w="100" w:type="dxa"/>
        </w:tblCellMar>
        <w:tblW w:w="9360" w:type="dxa"/>
      </w:tblPr>
      <w:tblGrid>
        <w:gridCol w:w="2600"/>
        <w:gridCol w:w="6760"/>
      </w:tblGrid>
      <w:tr>
        <w:tc>
          <w:tcPr>
            <w:tcW w:type="dxa" w:w="2600"/>
            <w:shd w:val="clear" w:color="auto" w:fill="EDF2F1"/>
          </w:tcPr>
          <w:p>
            <w:pPr>
              <w:spacing w:before="20" w:after="20"/>
            </w:pPr>
            <w:r>
              <w:rPr>
                <w:rFonts w:ascii="Calibri" w:hAnsi="Calibri"/>
                <w:b/>
                <w:i w:val="0"/>
                <w:color w:val="0A3E3A"/>
                <w:sz w:val="19"/>
              </w:rPr>
              <w:t>Producto_ID</w:t>
            </w:r>
          </w:p>
        </w:tc>
        <w:tc>
          <w:tcPr>
            <w:tcW w:type="dxa" w:w="6760"/>
          </w:tcPr>
          <w:p>
            <w:pPr>
              <w:spacing w:before="20" w:after="20"/>
            </w:pPr>
            <w:r>
              <w:rPr>
                <w:rFonts w:ascii="Calibri" w:hAnsi="Calibri"/>
                <w:b w:val="0"/>
                <w:i w:val="0"/>
                <w:color w:val="1A2B33"/>
                <w:sz w:val="19"/>
              </w:rPr>
              <w:t>NMX-01</w:t>
            </w:r>
          </w:p>
        </w:tc>
      </w:tr>
      <w:tr>
        <w:tc>
          <w:tcPr>
            <w:tcW w:type="dxa" w:w="2600"/>
            <w:shd w:val="clear" w:color="auto" w:fill="EDF2F1"/>
          </w:tcPr>
          <w:p>
            <w:pPr>
              <w:spacing w:before="20" w:after="20"/>
            </w:pPr>
            <w:r>
              <w:rPr>
                <w:rFonts w:ascii="Calibri" w:hAnsi="Calibri"/>
                <w:b/>
                <w:i w:val="0"/>
                <w:color w:val="0A3E3A"/>
                <w:sz w:val="19"/>
              </w:rPr>
              <w:t>Archivo analizado</w:t>
            </w:r>
          </w:p>
        </w:tc>
        <w:tc>
          <w:tcPr>
            <w:tcW w:type="dxa" w:w="6760"/>
          </w:tcPr>
          <w:p>
            <w:pPr>
              <w:spacing w:before="20" w:after="20"/>
            </w:pPr>
            <w:r>
              <w:rPr>
                <w:rFonts w:ascii="Calibri" w:hAnsi="Calibri"/>
                <w:b w:val="0"/>
                <w:i w:val="0"/>
                <w:color w:val="1A2B33"/>
                <w:sz w:val="19"/>
              </w:rPr>
              <w:t>NMX-01_Necesidades_Energeticas_DEFINITIVO_2026.xlsx</w:t>
            </w:r>
          </w:p>
        </w:tc>
      </w:tr>
      <w:tr>
        <w:tc>
          <w:tcPr>
            <w:tcW w:type="dxa" w:w="2600"/>
            <w:shd w:val="clear" w:color="auto" w:fill="EDF2F1"/>
          </w:tcPr>
          <w:p>
            <w:pPr>
              <w:spacing w:before="20" w:after="20"/>
            </w:pPr>
            <w:r>
              <w:rPr>
                <w:rFonts w:ascii="Calibri" w:hAnsi="Calibri"/>
                <w:b/>
                <w:i w:val="0"/>
                <w:color w:val="0A3E3A"/>
                <w:sz w:val="19"/>
              </w:rPr>
              <w:t>Versión visible</w:t>
            </w:r>
          </w:p>
        </w:tc>
        <w:tc>
          <w:tcPr>
            <w:tcW w:type="dxa" w:w="6760"/>
          </w:tcPr>
          <w:p>
            <w:pPr>
              <w:spacing w:before="20" w:after="20"/>
            </w:pPr>
            <w:r>
              <w:rPr>
                <w:rFonts w:ascii="Calibri" w:hAnsi="Calibri"/>
                <w:b w:val="0"/>
                <w:i w:val="0"/>
                <w:color w:val="1A2B33"/>
                <w:sz w:val="19"/>
              </w:rPr>
              <w:t>NO_CONFIRMADO</w:t>
            </w:r>
          </w:p>
        </w:tc>
      </w:tr>
      <w:tr>
        <w:tc>
          <w:tcPr>
            <w:tcW w:type="dxa" w:w="2600"/>
            <w:shd w:val="clear" w:color="auto" w:fill="EDF2F1"/>
          </w:tcPr>
          <w:p>
            <w:pPr>
              <w:spacing w:before="20" w:after="20"/>
            </w:pPr>
            <w:r>
              <w:rPr>
                <w:rFonts w:ascii="Calibri" w:hAnsi="Calibri"/>
                <w:b/>
                <w:i w:val="0"/>
                <w:color w:val="0A3E3A"/>
                <w:sz w:val="19"/>
              </w:rPr>
              <w:t>Estado documental</w:t>
            </w:r>
          </w:p>
        </w:tc>
        <w:tc>
          <w:tcPr>
            <w:tcW w:type="dxa" w:w="6760"/>
          </w:tcPr>
          <w:p>
            <w:pPr>
              <w:spacing w:before="20" w:after="20"/>
            </w:pPr>
            <w:r>
              <w:rPr>
                <w:rFonts w:ascii="Calibri" w:hAnsi="Calibri"/>
                <w:b w:val="0"/>
                <w:i w:val="0"/>
                <w:color w:val="1A2B33"/>
                <w:sz w:val="19"/>
              </w:rPr>
              <w:t>PRE_P19 (estado documental declarado en el nombre del archivo)</w:t>
            </w:r>
          </w:p>
        </w:tc>
      </w:tr>
    </w:tbl>
    <w:p>
      <w:r>
        <w:br w:type="page"/>
      </w:r>
    </w:p>
    <w:p>
      <w:pPr>
        <w:spacing w:before="40" w:after="800" w:line="276" w:lineRule="auto"/>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Layout w:type="fixed"/>
        <w:tblCellMar>
          <w:top w:w="260" w:type="dxa"/>
          <w:bottom w:w="260" w:type="dxa"/>
          <w:left w:w="220" w:type="dxa"/>
          <w:right w:w="220" w:type="dxa"/>
        </w:tblCellMar>
        <w:tblW w:w="9360" w:type="dxa"/>
      </w:tblPr>
      <w:tblGrid>
        <w:gridCol w:w="10086"/>
      </w:tblGrid>
      <w:tr>
        <w:tc>
          <w:tcPr>
            <w:tcW w:type="dxa" w:w="10086"/>
            <w:shd w:val="clear" w:color="auto" w:fill="0A3E3A"/>
          </w:tcPr>
          <w:p>
            <w:pPr>
              <w:spacing w:before="0" w:after="0"/>
              <w:jc w:val="center"/>
            </w:pPr>
            <w:r>
              <w:rPr>
                <w:rFonts w:ascii="Calibri" w:hAnsi="Calibri"/>
                <w:b/>
                <w:i w:val="0"/>
                <w:color w:val="FFFFFF"/>
                <w:sz w:val="52"/>
              </w:rPr>
              <w:t>NUTRIMETRÍA</w:t>
            </w:r>
          </w:p>
          <w:p>
            <w:pPr>
              <w:spacing w:before="120" w:after="0"/>
              <w:jc w:val="center"/>
            </w:pPr>
            <w:r>
              <w:rPr>
                <w:rFonts w:ascii="Calibri" w:hAnsi="Calibri"/>
                <w:b/>
                <w:i w:val="0"/>
                <w:color w:val="EDF2F1"/>
                <w:sz w:val="24"/>
              </w:rPr>
              <w:t>NMX-01 · Calculadora Energética y de Composición Básica (con IMC)</w:t>
            </w:r>
          </w:p>
          <w:p>
            <w:pPr>
              <w:spacing w:before="80" w:after="0"/>
              <w:jc w:val="center"/>
            </w:pPr>
            <w:r>
              <w:rPr>
                <w:rFonts w:ascii="Calibri" w:hAnsi="Calibri"/>
                <w:b w:val="0"/>
                <w:i w:val="0"/>
                <w:color w:val="EDF2F1"/>
                <w:sz w:val="20"/>
              </w:rPr>
              <w:t>Fase 1 · Motores · NO_CONFIRMADO · 2026</w:t>
            </w:r>
          </w:p>
        </w:tc>
      </w:tr>
    </w:tbl>
    <w:p>
      <w:pPr>
        <w:spacing w:before="40" w:after="280" w:line="276" w:lineRule="auto"/>
      </w:pPr>
    </w:p>
    <w:p>
      <w:pPr>
        <w:spacing w:before="40" w:after="120" w:line="276" w:lineRule="auto"/>
        <w:jc w:val="center"/>
      </w:pPr>
      <w:r>
        <w:rPr>
          <w:rFonts w:ascii="Calibri" w:hAnsi="Calibri"/>
          <w:b/>
          <w:i w:val="0"/>
          <w:color w:val="0F5A54"/>
          <w:sz w:val="24"/>
        </w:rPr>
        <w:t>Herramienta educativa para Nutrición y Dietética</w:t>
      </w:r>
    </w:p>
    <w:p>
      <w:pPr>
        <w:spacing w:before="40" w:after="80" w:line="276" w:lineRule="auto"/>
        <w:jc w:val="center"/>
      </w:pPr>
      <w:r>
        <w:rPr>
          <w:rFonts w:ascii="Calibri" w:hAnsi="Calibri"/>
          <w:b w:val="0"/>
          <w:i/>
          <w:color w:val="45565E"/>
          <w:sz w:val="19"/>
        </w:rPr>
        <w:t>Suite NUTRIMETRÍA — orden, trazabilidad, aprendizaje, metodología, automatización y usabilidad.</w:t>
      </w:r>
    </w:p>
    <w:sectPr w:rsidR="00FC693F" w:rsidRPr="0006063C" w:rsidSect="00034616">
      <w:footerReference w:type="default" r:id="rId9"/>
      <w:pgSz w:w="12240" w:h="15840"/>
      <w:pgMar w:top="907"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tabs>
        <w:tab w:val="center" w:pos="4680"/>
        <w:tab w:val="right" w:pos="9360"/>
      </w:tabs>
    </w:pPr>
    <w:r>
      <w:rPr>
        <w:rFonts w:ascii="Calibri" w:hAnsi="Calibri"/>
        <w:b/>
        <w:i w:val="0"/>
        <w:color w:val="0F5A54"/>
        <w:sz w:val="16"/>
      </w:rPr>
      <w:t>NUTRIMETRÍA</w:t>
    </w:r>
    <w:r>
      <w:rPr>
        <w:rFonts w:ascii="Calibri" w:hAnsi="Calibri"/>
        <w:b w:val="0"/>
        <w:i w:val="0"/>
        <w:color w:val="45565E"/>
        <w:sz w:val="16"/>
      </w:rPr>
      <w:tab/>
      <w:t>NMX-01 · Calculadora Energética y de Composición Básica</w:t>
    </w:r>
    <w:r>
      <w:rPr>
        <w:rFonts w:ascii="Calibri" w:hAnsi="Calibri"/>
        <w:b w:val="0"/>
        <w:i w:val="0"/>
        <w:color w:val="45565E"/>
        <w:sz w:val="16"/>
      </w:rPr>
      <w:tab/>
      <w:t xml:space="preserve">Pág.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B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