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12b Handling animals for immunological studies raises several ethical considerations, as it involves potentially subjecting animals to experimentation and potential harm. However, there are strategies that can be implemented to reduce animal use while maintaining scientific rigor. In this response, we will evaluate the ethical considerations involved and propose such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Ethical Considerations: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Animal Welfare: The primary ethical concern is the welfare of animals used in immunological studies. Animals may experience pain, distress, or suffering during procedures, such as blood collection, immunizations, and tissue sampling. Researchers must minimize these adverse effects and ensure the animals are treated humanely.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Alternatives to Animal Use: Ethical considerations also involve exploring and utilizing alternatives to animal use wherever possible. In vitro methods, computational modeling, and human-based studies can provide valuable insights into immunology, reducing the need for animal experimentation.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Minimizing Animal Use: Researchers should adopt the "3Rs" principle: Replacement, Reduction, and Refinement. Replacement involves seeking alternatives to animal models. Reduction focuses on minimizing the number of animals used while obtaining statistically significant results. Refinement aims to refine experimental procedures to minimize animal suffering.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Species Selection: Ethical considerations involve choosing appropriate animal species for immunological studies. Researchers should select species that are scientifically relevant to the research question and that possess a similar immune system to humans to ensure the translatability of findings.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Strategies for Reducing Animal Use while Maintaining Scientific Rigor: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Improved Study Design: Thorough planning and study design can significantly reduce animal use. This includes conducting pilot studies, using appropriate statistical methods, and carefully considering sample sizes to ensure the necessary statistical power.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pPr>
      <w:r w:rsidDel="00000000" w:rsidR="00000000" w:rsidRPr="00000000">
        <w:rPr>
          <w:color w:val="0e101a"/>
          <w:rtl w:val="0"/>
        </w:rPr>
        <w:t xml:space="preserve">Sharing Data and Collaboration: Collaboration and data sharing within the scientific community can minimize duplication of experiments and reduce animal use. Open-access repositories and databases enable researchers to access existing data, accelerating scientific progress without the need for additional animal studies.</w:t>
      </w:r>
    </w:p>
    <w:p w:rsidR="00000000" w:rsidDel="00000000" w:rsidP="00000000" w:rsidRDefault="00000000" w:rsidRPr="00000000" w14:paraId="00000012">
      <w:pPr>
        <w:numPr>
          <w:ilvl w:val="0"/>
          <w:numId w:val="6"/>
        </w:numPr>
        <w:ind w:left="720" w:hanging="360"/>
      </w:pPr>
      <w:r w:rsidDel="00000000" w:rsidR="00000000" w:rsidRPr="00000000">
        <w:rPr>
          <w:color w:val="0e101a"/>
          <w:rtl w:val="0"/>
        </w:rPr>
        <w:t xml:space="preserve">In vitro and Computational Approaches: Utilizing in vitro models, such as cell cultures or organoids, can provide valuable insights into immunological mechanisms. Combining these models with computational approaches, such as mathematical modeling or machine learning, allows for the prediction of immune responses and reduces reliance on animal experimentation.</w:t>
      </w:r>
    </w:p>
    <w:p w:rsidR="00000000" w:rsidDel="00000000" w:rsidP="00000000" w:rsidRDefault="00000000" w:rsidRPr="00000000" w14:paraId="00000013">
      <w:pPr>
        <w:numPr>
          <w:ilvl w:val="0"/>
          <w:numId w:val="6"/>
        </w:numPr>
        <w:ind w:left="720" w:hanging="360"/>
      </w:pPr>
      <w:r w:rsidDel="00000000" w:rsidR="00000000" w:rsidRPr="00000000">
        <w:rPr>
          <w:color w:val="0e101a"/>
          <w:rtl w:val="0"/>
        </w:rPr>
        <w:t xml:space="preserve">Human-Based Studies: Whenever feasible, researchers should prioritize human-based studies. This may include clinical trials, population-based studies, or using human cells and tissues obtained from biopsies or organ donations. Human-based studies provide more accurate and directly applicable results to human immunology.</w:t>
      </w:r>
    </w:p>
    <w:p w:rsidR="00000000" w:rsidDel="00000000" w:rsidP="00000000" w:rsidRDefault="00000000" w:rsidRPr="00000000" w14:paraId="00000014">
      <w:pPr>
        <w:numPr>
          <w:ilvl w:val="0"/>
          <w:numId w:val="6"/>
        </w:numPr>
        <w:ind w:left="720" w:hanging="360"/>
      </w:pPr>
      <w:r w:rsidDel="00000000" w:rsidR="00000000" w:rsidRPr="00000000">
        <w:rPr>
          <w:color w:val="0e101a"/>
          <w:rtl w:val="0"/>
        </w:rPr>
        <w:t xml:space="preserve">Improving Animal Welfare: Ethical considerations can be addressed by implementing measures to enhance animal welfare. This includes providing appropriate housing conditions, minimizing pain and distress during procedures through the use of anesthesia and analgesia, and ensuring the animals' overall well-being throughout the study.</w:t>
      </w:r>
    </w:p>
    <w:p w:rsidR="00000000" w:rsidDel="00000000" w:rsidP="00000000" w:rsidRDefault="00000000" w:rsidRPr="00000000" w14:paraId="00000015">
      <w:pPr>
        <w:numPr>
          <w:ilvl w:val="0"/>
          <w:numId w:val="6"/>
        </w:numPr>
        <w:ind w:left="720" w:hanging="360"/>
      </w:pPr>
      <w:r w:rsidDel="00000000" w:rsidR="00000000" w:rsidRPr="00000000">
        <w:rPr>
          <w:color w:val="0e101a"/>
          <w:rtl w:val="0"/>
        </w:rPr>
        <w:t xml:space="preserve">Education and Training: Researchers and laboratory staff should receive comprehensive education and training on animal welfare, ethical considerations, and the latest techniques for reducing animal use. This fosters a culture of responsibility and helps implement effective strategies to minimize animal use while maintaining scientific rigor.</w:t>
      </w:r>
    </w:p>
    <w:p w:rsidR="00000000" w:rsidDel="00000000" w:rsidP="00000000" w:rsidRDefault="00000000" w:rsidRPr="00000000" w14:paraId="00000016">
      <w:pPr>
        <w:numPr>
          <w:ilvl w:val="0"/>
          <w:numId w:val="6"/>
        </w:numPr>
        <w:ind w:left="720" w:hanging="360"/>
      </w:pPr>
      <w:r w:rsidDel="00000000" w:rsidR="00000000" w:rsidRPr="00000000">
        <w:rPr>
          <w:color w:val="0e101a"/>
          <w:rtl w:val="0"/>
        </w:rPr>
        <w:t xml:space="preserve">Regular Ethical Reviews: Periodic ethical reviews by institutional animal ethics committees or review boards are essential. These reviews ensure that all studies involving animals are in line with ethical guidelines and encourage researchers to constantly evaluate and improve their practices.</w:t>
      </w:r>
    </w:p>
    <w:p w:rsidR="00000000" w:rsidDel="00000000" w:rsidP="00000000" w:rsidRDefault="00000000" w:rsidRPr="00000000" w14:paraId="00000017">
      <w:pPr>
        <w:rPr>
          <w:color w:val="0e101a"/>
        </w:rPr>
      </w:pPr>
      <w:r w:rsidDel="00000000" w:rsidR="00000000" w:rsidRPr="00000000">
        <w:rPr>
          <w:color w:val="0e101a"/>
          <w:rtl w:val="0"/>
        </w:rPr>
        <w:t xml:space="preserve">In conclusion, handling animals for immunological studies involves several ethical considerations, including animal welfare and the exploration of alternatives. To reduce animal use while maintaining scientific rigor, improved study design, collaboration, in vitro and computational approaches, human-based studies, improved animal welfare, education, and regular ethical reviews are crucial strategies. By implementing these strategies, researchers can make significant progress in immunological research while minimizing the use of animals and ensuring their ethical treatment.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11.a)</w:t>
      </w:r>
    </w:p>
    <w:p w:rsidR="00000000" w:rsidDel="00000000" w:rsidP="00000000" w:rsidRDefault="00000000" w:rsidRPr="00000000" w14:paraId="0000001A">
      <w:pPr>
        <w:rPr/>
      </w:pPr>
      <w:r w:rsidDel="00000000" w:rsidR="00000000" w:rsidRPr="00000000">
        <w:rPr>
          <w:rtl w:val="0"/>
        </w:rPr>
        <w:t xml:space="preserve">The complement system is a crucial component of the immune system that plays a vital role in host defense against pathogens. However, dysregulation of the complement system can contribute to the development and progression of autoimmune diseases. Understanding the clinical relevance and potential applications of the complement system in targeted therapies for autoimmune diseases requires an assessment of the challenges and ethical considerations associated with modulating this complex system.</w:t>
      </w:r>
    </w:p>
    <w:p w:rsidR="00000000" w:rsidDel="00000000" w:rsidP="00000000" w:rsidRDefault="00000000" w:rsidRPr="00000000" w14:paraId="0000001B">
      <w:pPr>
        <w:rPr/>
      </w:pPr>
      <w:r w:rsidDel="00000000" w:rsidR="00000000" w:rsidRPr="00000000">
        <w:rPr>
          <w:rtl w:val="0"/>
        </w:rPr>
        <w:t xml:space="preserve">Clinical Relevance and Potential Applications:</w:t>
      </w:r>
    </w:p>
    <w:p w:rsidR="00000000" w:rsidDel="00000000" w:rsidP="00000000" w:rsidRDefault="00000000" w:rsidRPr="00000000" w14:paraId="0000001C">
      <w:pPr>
        <w:rPr/>
      </w:pPr>
      <w:r w:rsidDel="00000000" w:rsidR="00000000" w:rsidRPr="00000000">
        <w:rPr>
          <w:rtl w:val="0"/>
        </w:rPr>
        <w:t xml:space="preserve">Autoimmune Diseases: The complement system has been implicated in various autoimmune diseases, including systemic lupus erythematosus, rheumatoid arthritis, and multiple sclerosis. Dysregulated complement activation can contribute to tissue damage, inflammation, and autoantibody production. Targeting specific components of the complement system offers potential therapeutic strategies for treating these diseases.</w:t>
      </w:r>
    </w:p>
    <w:p w:rsidR="00000000" w:rsidDel="00000000" w:rsidP="00000000" w:rsidRDefault="00000000" w:rsidRPr="00000000" w14:paraId="0000001D">
      <w:pPr>
        <w:rPr/>
      </w:pPr>
      <w:r w:rsidDel="00000000" w:rsidR="00000000" w:rsidRPr="00000000">
        <w:rPr>
          <w:rtl w:val="0"/>
        </w:rPr>
        <w:t xml:space="preserve">Complement Inhibition: Inhibition of the complement system can be achieved at different levels, including the inhibition of complement activation or the blockade of specific complement components. Therapies targeting complement components, such as C1-inhibitor, C3, C5, or complement regulatory proteins, have shown promise in preclinical and clinical studies.</w:t>
      </w:r>
    </w:p>
    <w:p w:rsidR="00000000" w:rsidDel="00000000" w:rsidP="00000000" w:rsidRDefault="00000000" w:rsidRPr="00000000" w14:paraId="0000001E">
      <w:pPr>
        <w:rPr/>
      </w:pPr>
      <w:r w:rsidDel="00000000" w:rsidR="00000000" w:rsidRPr="00000000">
        <w:rPr>
          <w:rtl w:val="0"/>
        </w:rPr>
        <w:t xml:space="preserve">Complement-Mediated Tissue Injury: In addition to autoimmune diseases, the complement system plays a significant role in complement-mediated tissue injury, such as in ischemia-reperfusion injury, transplantation rejection, and age-related macular degeneration. Modulating the complement system can potentially mitigate tissue damage and improve patient outcomes in these conditions.</w:t>
      </w:r>
    </w:p>
    <w:p w:rsidR="00000000" w:rsidDel="00000000" w:rsidP="00000000" w:rsidRDefault="00000000" w:rsidRPr="00000000" w14:paraId="0000001F">
      <w:pPr>
        <w:rPr/>
      </w:pPr>
      <w:r w:rsidDel="00000000" w:rsidR="00000000" w:rsidRPr="00000000">
        <w:rPr>
          <w:rtl w:val="0"/>
        </w:rPr>
        <w:t xml:space="preserve">Combination Therapies: Complement-targeted therapies can also be combined with existing treatments to achieve synergistic effects. For example, combining complement inhibitors with immunosuppressive drugs or monoclonal antibodies can enhance therapeutic efficacy and reduce disease activity in autoimmune diseases.</w:t>
      </w:r>
    </w:p>
    <w:p w:rsidR="00000000" w:rsidDel="00000000" w:rsidP="00000000" w:rsidRDefault="00000000" w:rsidRPr="00000000" w14:paraId="00000020">
      <w:pPr>
        <w:rPr/>
      </w:pPr>
      <w:r w:rsidDel="00000000" w:rsidR="00000000" w:rsidRPr="00000000">
        <w:rPr>
          <w:rtl w:val="0"/>
        </w:rPr>
        <w:t xml:space="preserve">Challenges Associated with Modulating the Complement System:</w:t>
      </w:r>
    </w:p>
    <w:p w:rsidR="00000000" w:rsidDel="00000000" w:rsidP="00000000" w:rsidRDefault="00000000" w:rsidRPr="00000000" w14:paraId="00000021">
      <w:pPr>
        <w:rPr/>
      </w:pPr>
      <w:r w:rsidDel="00000000" w:rsidR="00000000" w:rsidRPr="00000000">
        <w:rPr>
          <w:rtl w:val="0"/>
        </w:rPr>
        <w:t xml:space="preserve">System Complexity: The complement system is a complex network of proteins, receptors, and regulatory factors, which makes it challenging to understand its precise mechanisms and identify optimal targets for therapeutic intervention. Comprehensive knowledge of the complement system's functional intricacies is necessary to design effective therapies.</w:t>
      </w:r>
    </w:p>
    <w:p w:rsidR="00000000" w:rsidDel="00000000" w:rsidP="00000000" w:rsidRDefault="00000000" w:rsidRPr="00000000" w14:paraId="00000022">
      <w:pPr>
        <w:rPr/>
      </w:pPr>
      <w:r w:rsidDel="00000000" w:rsidR="00000000" w:rsidRPr="00000000">
        <w:rPr>
          <w:rtl w:val="0"/>
        </w:rPr>
        <w:t xml:space="preserve">Dual Role of the Complement System: The complement system has both protective and pathogenic roles in immune responses. Complete suppression of the complement system may increase the risk of infections and compromise host defense mechanisms. Therefore, achieving the right balance between complement inhibition and maintaining protective immune functions is a challenge.</w:t>
      </w:r>
    </w:p>
    <w:p w:rsidR="00000000" w:rsidDel="00000000" w:rsidP="00000000" w:rsidRDefault="00000000" w:rsidRPr="00000000" w14:paraId="00000023">
      <w:pPr>
        <w:rPr/>
      </w:pPr>
      <w:r w:rsidDel="00000000" w:rsidR="00000000" w:rsidRPr="00000000">
        <w:rPr>
          <w:rtl w:val="0"/>
        </w:rPr>
        <w:t xml:space="preserve">Patient Heterogeneity: Autoimmune diseases exhibit considerable heterogeneity among patients, with different disease subtypes and clinical manifestations. Identifying specific patient subsets that would benefit the most from complement-targeted therapies and developing personalized treatment approaches is a challenge.</w:t>
      </w:r>
    </w:p>
    <w:p w:rsidR="00000000" w:rsidDel="00000000" w:rsidP="00000000" w:rsidRDefault="00000000" w:rsidRPr="00000000" w14:paraId="00000024">
      <w:pPr>
        <w:rPr/>
      </w:pPr>
      <w:r w:rsidDel="00000000" w:rsidR="00000000" w:rsidRPr="00000000">
        <w:rPr>
          <w:rtl w:val="0"/>
        </w:rPr>
        <w:t xml:space="preserve">Safety and Side Effects: Modulating the complement system may carry the risk of adverse effects. Systemic complement inhibition can increase the susceptibility to infections, as the complement system plays a critical role in clearing pathogens. Careful monitoring and management of potential side effects are necessary to ensure patient safety.</w:t>
      </w:r>
    </w:p>
    <w:p w:rsidR="00000000" w:rsidDel="00000000" w:rsidP="00000000" w:rsidRDefault="00000000" w:rsidRPr="00000000" w14:paraId="00000025">
      <w:pPr>
        <w:rPr/>
      </w:pPr>
      <w:r w:rsidDel="00000000" w:rsidR="00000000" w:rsidRPr="00000000">
        <w:rPr>
          <w:rtl w:val="0"/>
        </w:rPr>
        <w:t xml:space="preserve">Ethical Considerations:</w:t>
      </w:r>
    </w:p>
    <w:p w:rsidR="00000000" w:rsidDel="00000000" w:rsidP="00000000" w:rsidRDefault="00000000" w:rsidRPr="00000000" w14:paraId="00000026">
      <w:pPr>
        <w:rPr/>
      </w:pPr>
      <w:r w:rsidDel="00000000" w:rsidR="00000000" w:rsidRPr="00000000">
        <w:rPr>
          <w:rtl w:val="0"/>
        </w:rPr>
        <w:t xml:space="preserve">Informed Consent: In clinical trials involving complement-targeted therapies, informed consent from patients is essential. Patients should be adequately informed about the experimental nature of the treatment, potential risks, benefits, and available alternatives.</w:t>
      </w:r>
    </w:p>
    <w:p w:rsidR="00000000" w:rsidDel="00000000" w:rsidP="00000000" w:rsidRDefault="00000000" w:rsidRPr="00000000" w14:paraId="00000027">
      <w:pPr>
        <w:rPr/>
      </w:pPr>
      <w:r w:rsidDel="00000000" w:rsidR="00000000" w:rsidRPr="00000000">
        <w:rPr>
          <w:rtl w:val="0"/>
        </w:rPr>
        <w:t xml:space="preserve">Animal Research: Preclinical studies to develop complement-targeted therapies often involve animal research. Ethical considerations should be taken into account, including minimizing animal suffering, adhering to relevant animal welfare regulations, and considering alternative methods whenever possible.</w:t>
      </w:r>
    </w:p>
    <w:p w:rsidR="00000000" w:rsidDel="00000000" w:rsidP="00000000" w:rsidRDefault="00000000" w:rsidRPr="00000000" w14:paraId="00000028">
      <w:pPr>
        <w:rPr/>
      </w:pPr>
      <w:r w:rsidDel="00000000" w:rsidR="00000000" w:rsidRPr="00000000">
        <w:rPr>
          <w:rtl w:val="0"/>
        </w:rPr>
        <w:t xml:space="preserve">Access and Affordability: Complement-targeted therapies should be developed with considerations for accessibility and affordability. Ensuring equitable access to these therapies, especially for individuals from diverse socioeconomic backgrounds, is essential to promote ethical and fair healthcare practices.</w:t>
      </w:r>
    </w:p>
    <w:p w:rsidR="00000000" w:rsidDel="00000000" w:rsidP="00000000" w:rsidRDefault="00000000" w:rsidRPr="00000000" w14:paraId="00000029">
      <w:pPr>
        <w:rPr/>
      </w:pPr>
      <w:r w:rsidDel="00000000" w:rsidR="00000000" w:rsidRPr="00000000">
        <w:rPr>
          <w:rtl w:val="0"/>
        </w:rPr>
        <w:t xml:space="preserve">Transparent Reporting: Accurate and transparent reporting of clinical trial outcomes and research findings is crucial to prevent selective reporting and promote ethical scientific practices. This facilitates informed decision-making for patients, healthcare professionals, and regulatory authorities.</w:t>
      </w:r>
    </w:p>
    <w:p w:rsidR="00000000" w:rsidDel="00000000" w:rsidP="00000000" w:rsidRDefault="00000000" w:rsidRPr="00000000" w14:paraId="0000002A">
      <w:pPr>
        <w:rPr/>
      </w:pPr>
      <w:r w:rsidDel="00000000" w:rsidR="00000000" w:rsidRPr="00000000">
        <w:rPr>
          <w:rtl w:val="0"/>
        </w:rPr>
        <w:t xml:space="preserve">Collaboration and Data Sharing: Collaboration among researchers, healthcare professionals, and industry stakeholders can facilitate the ethical development and implementation of complement-targeted therapies. Open sharing of data and research findings promotes scientific progress and ensures transparency in the evaluation of safety and efficacy.</w:t>
      </w:r>
    </w:p>
    <w:p w:rsidR="00000000" w:rsidDel="00000000" w:rsidP="00000000" w:rsidRDefault="00000000" w:rsidRPr="00000000" w14:paraId="0000002B">
      <w:pPr>
        <w:rPr/>
      </w:pPr>
      <w:r w:rsidDel="00000000" w:rsidR="00000000" w:rsidRPr="00000000">
        <w:rPr>
          <w:rtl w:val="0"/>
        </w:rPr>
        <w:t xml:space="preserve">In summary, the complement system holds significant clinical relevance in the development of targeted therapies for autoimmune diseases. However, challenges related to system complexity, patient heterogeneity, and potential side effects need to be addressed. Ethical considerations surrounding informed consent, animal research, access and affordability, transparent reporting, and collaboration are essential to guide the responsible development and implementation of complement-targeted therapies. By addressing these challenges and ethical considerations, researchers and healthcare professionals can advance the field and improve patient outcomes in autoimmune diseases.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11.b)</w:t>
      </w:r>
    </w:p>
    <w:p w:rsidR="00000000" w:rsidDel="00000000" w:rsidP="00000000" w:rsidRDefault="00000000" w:rsidRPr="00000000" w14:paraId="0000002E">
      <w:pPr>
        <w:rPr>
          <w:color w:val="0e101a"/>
        </w:rPr>
      </w:pPr>
      <w:r w:rsidDel="00000000" w:rsidR="00000000" w:rsidRPr="00000000">
        <w:rPr>
          <w:color w:val="0e101a"/>
          <w:rtl w:val="0"/>
        </w:rPr>
        <w:t xml:space="preserve">Modulating the complement system offers potential therapeutic opportunities for various diseases, including autoimmune disorders, inflammatory conditions, and complement-mediated diseases. However, there are challenges and ethical considerations associated with manipulating this complex immune system pathway. In this response, we will assess both the challenges and ethical considerations in relation to the clinical relevance, potential applications, challenges, and ethical considerations of modulating the complement system.</w:t>
      </w:r>
    </w:p>
    <w:p w:rsidR="00000000" w:rsidDel="00000000" w:rsidP="00000000" w:rsidRDefault="00000000" w:rsidRPr="00000000" w14:paraId="0000002F">
      <w:pPr>
        <w:rPr>
          <w:color w:val="0e101a"/>
        </w:rPr>
      </w:pPr>
      <w:r w:rsidDel="00000000" w:rsidR="00000000" w:rsidRPr="00000000">
        <w:rPr>
          <w:color w:val="0e101a"/>
          <w:rtl w:val="0"/>
        </w:rPr>
        <w:t xml:space="preserve">Clinical Relevance and Potential Applications:</w:t>
      </w:r>
    </w:p>
    <w:p w:rsidR="00000000" w:rsidDel="00000000" w:rsidP="00000000" w:rsidRDefault="00000000" w:rsidRPr="00000000" w14:paraId="00000030">
      <w:pPr>
        <w:numPr>
          <w:ilvl w:val="0"/>
          <w:numId w:val="9"/>
        </w:numPr>
        <w:ind w:left="720" w:hanging="360"/>
      </w:pPr>
      <w:r w:rsidDel="00000000" w:rsidR="00000000" w:rsidRPr="00000000">
        <w:rPr>
          <w:color w:val="0e101a"/>
          <w:rtl w:val="0"/>
        </w:rPr>
        <w:t xml:space="preserve">Autoimmune Diseases: Dysregulation of the complement system is implicated in several autoimmune diseases, such as systemic lupus erythematosus, rheumatoid arthritis, and vasculitis. Targeting complement components, receptors, or regulatory proteins could mitigate excessive complement activation and tissue damage, potentially reducing disease activity and progression.</w:t>
      </w:r>
    </w:p>
    <w:p w:rsidR="00000000" w:rsidDel="00000000" w:rsidP="00000000" w:rsidRDefault="00000000" w:rsidRPr="00000000" w14:paraId="00000031">
      <w:pPr>
        <w:numPr>
          <w:ilvl w:val="0"/>
          <w:numId w:val="9"/>
        </w:numPr>
        <w:ind w:left="720" w:hanging="360"/>
      </w:pPr>
      <w:r w:rsidDel="00000000" w:rsidR="00000000" w:rsidRPr="00000000">
        <w:rPr>
          <w:color w:val="0e101a"/>
          <w:rtl w:val="0"/>
        </w:rPr>
        <w:t xml:space="preserve">Inflammatory Conditions: Complement activation contributes to the inflammatory response in conditions like sepsis, ischemia-reperfusion injury, and inflammatory bowel disease. Modulating the complement system may help control excessive inflammation, attenuate tissue damage, and improve patient outcomes.</w:t>
      </w:r>
    </w:p>
    <w:p w:rsidR="00000000" w:rsidDel="00000000" w:rsidP="00000000" w:rsidRDefault="00000000" w:rsidRPr="00000000" w14:paraId="00000032">
      <w:pPr>
        <w:numPr>
          <w:ilvl w:val="0"/>
          <w:numId w:val="9"/>
        </w:numPr>
        <w:ind w:left="720" w:hanging="360"/>
      </w:pPr>
      <w:r w:rsidDel="00000000" w:rsidR="00000000" w:rsidRPr="00000000">
        <w:rPr>
          <w:color w:val="0e101a"/>
          <w:rtl w:val="0"/>
        </w:rPr>
        <w:t xml:space="preserve">Complement-Mediated Diseases: Complement dysregulation is associated with diseases like age-related macular degeneration, atypical hemolytic uremic syndrome, and paroxysmal nocturnal hemoglobinuria. Targeted therapies that inhibit or regulate specific complement components could potentially alleviate complement-mediated tissue damage and halt disease progression.</w:t>
      </w:r>
    </w:p>
    <w:p w:rsidR="00000000" w:rsidDel="00000000" w:rsidP="00000000" w:rsidRDefault="00000000" w:rsidRPr="00000000" w14:paraId="00000033">
      <w:pPr>
        <w:rPr>
          <w:color w:val="0e101a"/>
        </w:rPr>
      </w:pPr>
      <w:r w:rsidDel="00000000" w:rsidR="00000000" w:rsidRPr="00000000">
        <w:rPr>
          <w:color w:val="0e101a"/>
          <w:rtl w:val="0"/>
        </w:rPr>
        <w:t xml:space="preserve">Challenges Associated with Modulating the Complement System:</w:t>
      </w:r>
    </w:p>
    <w:p w:rsidR="00000000" w:rsidDel="00000000" w:rsidP="00000000" w:rsidRDefault="00000000" w:rsidRPr="00000000" w14:paraId="00000034">
      <w:pPr>
        <w:numPr>
          <w:ilvl w:val="0"/>
          <w:numId w:val="4"/>
        </w:numPr>
        <w:ind w:left="720" w:hanging="360"/>
      </w:pPr>
      <w:r w:rsidDel="00000000" w:rsidR="00000000" w:rsidRPr="00000000">
        <w:rPr>
          <w:color w:val="0e101a"/>
          <w:rtl w:val="0"/>
        </w:rPr>
        <w:t xml:space="preserve">Complexity and Redundancy: The complement system consists of numerous proteins, receptors, and regulatory factors that interact in complex ways. The redundancy and overlap of complement pathways make it challenging to identify specific targets for modulation and understand the overall consequences of intervention.</w:t>
      </w:r>
    </w:p>
    <w:p w:rsidR="00000000" w:rsidDel="00000000" w:rsidP="00000000" w:rsidRDefault="00000000" w:rsidRPr="00000000" w14:paraId="00000035">
      <w:pPr>
        <w:numPr>
          <w:ilvl w:val="0"/>
          <w:numId w:val="4"/>
        </w:numPr>
        <w:ind w:left="720" w:hanging="360"/>
      </w:pPr>
      <w:r w:rsidDel="00000000" w:rsidR="00000000" w:rsidRPr="00000000">
        <w:rPr>
          <w:color w:val="0e101a"/>
          <w:rtl w:val="0"/>
        </w:rPr>
        <w:t xml:space="preserve">Dual Role of the Complement System: The complement system has both beneficial and detrimental effects. While complement activation aids in pathogen clearance and immune defense, excessive or dysregulated activation can lead to tissue damage and inflammation. Achieving the delicate balance of modulating complement without compromising its protective functions poses a challenge.</w:t>
      </w:r>
    </w:p>
    <w:p w:rsidR="00000000" w:rsidDel="00000000" w:rsidP="00000000" w:rsidRDefault="00000000" w:rsidRPr="00000000" w14:paraId="00000036">
      <w:pPr>
        <w:numPr>
          <w:ilvl w:val="0"/>
          <w:numId w:val="4"/>
        </w:numPr>
        <w:ind w:left="720" w:hanging="360"/>
      </w:pPr>
      <w:r w:rsidDel="00000000" w:rsidR="00000000" w:rsidRPr="00000000">
        <w:rPr>
          <w:color w:val="0e101a"/>
          <w:rtl w:val="0"/>
        </w:rPr>
        <w:t xml:space="preserve">Patient Heterogeneity: Autoimmune and complement-mediated diseases exhibit substantial heterogeneity among patients, including variations in disease subtypes, clinical manifestations, and complement system dysregulation. Identifying patient subsets that are most likely to benefit from complement modulation and developing personalized treatment approaches based on biomarkers and disease characteristics is complex.</w:t>
      </w:r>
    </w:p>
    <w:p w:rsidR="00000000" w:rsidDel="00000000" w:rsidP="00000000" w:rsidRDefault="00000000" w:rsidRPr="00000000" w14:paraId="00000037">
      <w:pPr>
        <w:numPr>
          <w:ilvl w:val="0"/>
          <w:numId w:val="4"/>
        </w:numPr>
        <w:ind w:left="720" w:hanging="360"/>
      </w:pPr>
      <w:r w:rsidDel="00000000" w:rsidR="00000000" w:rsidRPr="00000000">
        <w:rPr>
          <w:color w:val="0e101a"/>
          <w:rtl w:val="0"/>
        </w:rPr>
        <w:t xml:space="preserve">Off-Target Effects and Safety Concerns: Modulating the complement system may have unintended off-target effects, potentially impacting other immune processes or increasing susceptibility to infections. The safety profile and long-term effects of complement-targeted therapies require careful evaluation to minimize risks and ensure patient safety.</w:t>
      </w:r>
    </w:p>
    <w:p w:rsidR="00000000" w:rsidDel="00000000" w:rsidP="00000000" w:rsidRDefault="00000000" w:rsidRPr="00000000" w14:paraId="00000038">
      <w:pPr>
        <w:rPr>
          <w:color w:val="0e101a"/>
        </w:rPr>
      </w:pPr>
      <w:r w:rsidDel="00000000" w:rsidR="00000000" w:rsidRPr="00000000">
        <w:rPr>
          <w:color w:val="0e101a"/>
          <w:rtl w:val="0"/>
        </w:rPr>
        <w:t xml:space="preserve">Ethical Considerations:</w:t>
      </w:r>
    </w:p>
    <w:p w:rsidR="00000000" w:rsidDel="00000000" w:rsidP="00000000" w:rsidRDefault="00000000" w:rsidRPr="00000000" w14:paraId="00000039">
      <w:pPr>
        <w:numPr>
          <w:ilvl w:val="0"/>
          <w:numId w:val="8"/>
        </w:numPr>
        <w:ind w:left="720" w:hanging="360"/>
      </w:pPr>
      <w:r w:rsidDel="00000000" w:rsidR="00000000" w:rsidRPr="00000000">
        <w:rPr>
          <w:color w:val="0e101a"/>
          <w:rtl w:val="0"/>
        </w:rPr>
        <w:t xml:space="preserve">Informed Consent: Clinical trials involving complement modulation should obtain informed consent from participants. Patients need comprehensive information about the experimental nature of the treatment, potential risks, benefits, available alternatives, and the uncertain nature of outcomes.</w:t>
      </w:r>
    </w:p>
    <w:p w:rsidR="00000000" w:rsidDel="00000000" w:rsidP="00000000" w:rsidRDefault="00000000" w:rsidRPr="00000000" w14:paraId="0000003A">
      <w:pPr>
        <w:numPr>
          <w:ilvl w:val="0"/>
          <w:numId w:val="8"/>
        </w:numPr>
        <w:ind w:left="720" w:hanging="360"/>
      </w:pPr>
      <w:r w:rsidDel="00000000" w:rsidR="00000000" w:rsidRPr="00000000">
        <w:rPr>
          <w:color w:val="0e101a"/>
          <w:rtl w:val="0"/>
        </w:rPr>
        <w:t xml:space="preserve">Animal Research: Preclinical studies to develop complement-targeted therapies often involve animal models. Ethical considerations involve minimizing animal suffering, adhering to relevant animal welfare regulations, and considering alternative methods whenever possible to reduce reliance on animal research.</w:t>
      </w:r>
    </w:p>
    <w:p w:rsidR="00000000" w:rsidDel="00000000" w:rsidP="00000000" w:rsidRDefault="00000000" w:rsidRPr="00000000" w14:paraId="0000003B">
      <w:pPr>
        <w:numPr>
          <w:ilvl w:val="0"/>
          <w:numId w:val="8"/>
        </w:numPr>
        <w:ind w:left="720" w:hanging="360"/>
      </w:pPr>
      <w:r w:rsidDel="00000000" w:rsidR="00000000" w:rsidRPr="00000000">
        <w:rPr>
          <w:color w:val="0e101a"/>
          <w:rtl w:val="0"/>
        </w:rPr>
        <w:t xml:space="preserve">Equity of Access: Complement-targeted therapies should be developed and implemented with considerations for equitable access and affordability. Ensuring that these therapies are accessible to individuals from diverse socioeconomic backgrounds promotes ethical and fair healthcare practices.</w:t>
      </w:r>
    </w:p>
    <w:p w:rsidR="00000000" w:rsidDel="00000000" w:rsidP="00000000" w:rsidRDefault="00000000" w:rsidRPr="00000000" w14:paraId="0000003C">
      <w:pPr>
        <w:numPr>
          <w:ilvl w:val="0"/>
          <w:numId w:val="8"/>
        </w:numPr>
        <w:ind w:left="720" w:hanging="360"/>
      </w:pPr>
      <w:r w:rsidDel="00000000" w:rsidR="00000000" w:rsidRPr="00000000">
        <w:rPr>
          <w:color w:val="0e101a"/>
          <w:rtl w:val="0"/>
        </w:rPr>
        <w:t xml:space="preserve">Transparent Reporting: Accurate and transparent reporting of clinical trial outcomes and research findings is essential to prevent selective reporting and publication bias. Transparent reporting facilitates informed decision-making for patients, healthcare professionals, and regulatory authorities.</w:t>
      </w:r>
    </w:p>
    <w:p w:rsidR="00000000" w:rsidDel="00000000" w:rsidP="00000000" w:rsidRDefault="00000000" w:rsidRPr="00000000" w14:paraId="0000003D">
      <w:pPr>
        <w:numPr>
          <w:ilvl w:val="0"/>
          <w:numId w:val="8"/>
        </w:numPr>
        <w:ind w:left="720" w:hanging="360"/>
      </w:pPr>
      <w:r w:rsidDel="00000000" w:rsidR="00000000" w:rsidRPr="00000000">
        <w:rPr>
          <w:color w:val="0e101a"/>
          <w:rtl w:val="0"/>
        </w:rPr>
        <w:t xml:space="preserve">Collaboration and Data Sharing: Collaboration among researchers, healthcare professionals, and industry stakeholders promotes ethical development and implementation of complement-targeted therapies. Open sharing of data and research findings fosters scientific progress, ensures transparency, and facilitates independent evaluation of safety and efficacy.</w:t>
      </w:r>
    </w:p>
    <w:p w:rsidR="00000000" w:rsidDel="00000000" w:rsidP="00000000" w:rsidRDefault="00000000" w:rsidRPr="00000000" w14:paraId="0000003E">
      <w:pPr>
        <w:rPr>
          <w:color w:val="0e101a"/>
        </w:rPr>
      </w:pPr>
      <w:r w:rsidDel="00000000" w:rsidR="00000000" w:rsidRPr="00000000">
        <w:rPr>
          <w:color w:val="0e101a"/>
          <w:rtl w:val="0"/>
        </w:rPr>
        <w:t xml:space="preserve">In summary, modulating the complement system holds clinical relevance and potential applications in various diseases. However, challenges related to complexity, dual roles, patient heterogeneity, off-target effects, and safety considerations must be addressed. Ethical considerations include informed consent, animal research, equity of access, transparent reporting, and collaboration. By carefully addressing these challenges and ethical considerations, researchers and healthcare professionals can advance the field of complement modulation and improve patient outcomes while maintaining ethical standards in research and healthcare delivery.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rtl w:val="0"/>
        </w:rPr>
        <w:t xml:space="preserve">11.b</w:t>
      </w:r>
      <w:r w:rsidDel="00000000" w:rsidR="00000000" w:rsidRPr="00000000">
        <w:rPr>
          <w:color w:val="0e101a"/>
          <w:rtl w:val="0"/>
        </w:rPr>
        <w:t xml:space="preserve">The Lymphoproliferation Assay and the Mixed Lymphocyte Reaction (MLR) are commonly used in immunological research and clinical diagnostics to assess T cell function and immune response. Both assays provide valuable insights into the proliferative capacity and activation status of T cells. Here, we will describe the principles and applications of each assay, explain the processes involved, and discuss their significance in immunological studies.</w:t>
      </w:r>
    </w:p>
    <w:p w:rsidR="00000000" w:rsidDel="00000000" w:rsidP="00000000" w:rsidRDefault="00000000" w:rsidRPr="00000000" w14:paraId="00000042">
      <w:pPr>
        <w:rPr>
          <w:color w:val="0e101a"/>
        </w:rPr>
      </w:pPr>
      <w:r w:rsidDel="00000000" w:rsidR="00000000" w:rsidRPr="00000000">
        <w:rPr>
          <w:color w:val="0e101a"/>
          <w:rtl w:val="0"/>
        </w:rPr>
        <w:t xml:space="preserve">Lymphoproliferation Assay: Principle: The Lymphoproliferation Assay measures the ability of T cells to proliferate in response to a specific antigenic stimulus. It evaluates the functional capacity of T cells by assessing their ability to respond and undergo clonal expansion upon encountering an antigen.</w:t>
      </w:r>
    </w:p>
    <w:p w:rsidR="00000000" w:rsidDel="00000000" w:rsidP="00000000" w:rsidRDefault="00000000" w:rsidRPr="00000000" w14:paraId="00000043">
      <w:pPr>
        <w:rPr>
          <w:color w:val="0e101a"/>
        </w:rPr>
      </w:pPr>
      <w:r w:rsidDel="00000000" w:rsidR="00000000" w:rsidRPr="00000000">
        <w:rPr>
          <w:color w:val="0e101a"/>
          <w:rtl w:val="0"/>
        </w:rPr>
        <w:t xml:space="preserve">Process:</w:t>
      </w:r>
    </w:p>
    <w:p w:rsidR="00000000" w:rsidDel="00000000" w:rsidP="00000000" w:rsidRDefault="00000000" w:rsidRPr="00000000" w14:paraId="00000044">
      <w:pPr>
        <w:numPr>
          <w:ilvl w:val="0"/>
          <w:numId w:val="14"/>
        </w:numPr>
        <w:ind w:left="720" w:hanging="360"/>
      </w:pPr>
      <w:r w:rsidDel="00000000" w:rsidR="00000000" w:rsidRPr="00000000">
        <w:rPr>
          <w:color w:val="0e101a"/>
          <w:rtl w:val="0"/>
        </w:rPr>
        <w:t xml:space="preserve">Isolation of Peripheral Blood Mononuclear Cells (PBMCs): PBMCs, which contain T cells, are isolated from a blood sample using density gradient centrifugation.</w:t>
      </w:r>
    </w:p>
    <w:p w:rsidR="00000000" w:rsidDel="00000000" w:rsidP="00000000" w:rsidRDefault="00000000" w:rsidRPr="00000000" w14:paraId="00000045">
      <w:pPr>
        <w:numPr>
          <w:ilvl w:val="0"/>
          <w:numId w:val="14"/>
        </w:numPr>
        <w:ind w:left="720" w:hanging="360"/>
      </w:pPr>
      <w:r w:rsidDel="00000000" w:rsidR="00000000" w:rsidRPr="00000000">
        <w:rPr>
          <w:color w:val="0e101a"/>
          <w:rtl w:val="0"/>
        </w:rPr>
        <w:t xml:space="preserve">Stimulation: The isolated PBMCs are then cultured in the presence of a specific antigen or mitogen that can activate T cells. The antigen can be a pathogen-derived antigen, a tumor-specific antigen, or a recall antigen like tetanus toxoid.</w:t>
      </w:r>
    </w:p>
    <w:p w:rsidR="00000000" w:rsidDel="00000000" w:rsidP="00000000" w:rsidRDefault="00000000" w:rsidRPr="00000000" w14:paraId="00000046">
      <w:pPr>
        <w:numPr>
          <w:ilvl w:val="0"/>
          <w:numId w:val="14"/>
        </w:numPr>
        <w:ind w:left="720" w:hanging="360"/>
      </w:pPr>
      <w:r w:rsidDel="00000000" w:rsidR="00000000" w:rsidRPr="00000000">
        <w:rPr>
          <w:color w:val="0e101a"/>
          <w:rtl w:val="0"/>
        </w:rPr>
        <w:t xml:space="preserve">Incorporation of a Radiolabeled Precursor: During the culture period, a radiolabeled nucleotide, such as tritiated thymidine ([^3H]-thymidine), is added to the cultures. Activated T cells undergo proliferation and incorporate the radiolabeled precursor into their newly synthesized DNA.</w:t>
      </w:r>
    </w:p>
    <w:p w:rsidR="00000000" w:rsidDel="00000000" w:rsidP="00000000" w:rsidRDefault="00000000" w:rsidRPr="00000000" w14:paraId="00000047">
      <w:pPr>
        <w:numPr>
          <w:ilvl w:val="0"/>
          <w:numId w:val="14"/>
        </w:numPr>
        <w:ind w:left="720" w:hanging="360"/>
      </w:pPr>
      <w:r w:rsidDel="00000000" w:rsidR="00000000" w:rsidRPr="00000000">
        <w:rPr>
          <w:color w:val="0e101a"/>
          <w:rtl w:val="0"/>
        </w:rPr>
        <w:t xml:space="preserve">Harvesting and Measurement: After the incubation period, the cells are harvested, and the amount of radiolabeled DNA is measured using scintillation counting. The level of incorporated radioactivity correlates with the extent of T cell proliferation in response to the antigenic stimulus.</w:t>
      </w:r>
    </w:p>
    <w:p w:rsidR="00000000" w:rsidDel="00000000" w:rsidP="00000000" w:rsidRDefault="00000000" w:rsidRPr="00000000" w14:paraId="00000048">
      <w:pPr>
        <w:rPr>
          <w:color w:val="0e101a"/>
        </w:rPr>
      </w:pPr>
      <w:r w:rsidDel="00000000" w:rsidR="00000000" w:rsidRPr="00000000">
        <w:rPr>
          <w:color w:val="0e101a"/>
          <w:rtl w:val="0"/>
        </w:rPr>
        <w:t xml:space="preserve">Applications:</w:t>
      </w:r>
    </w:p>
    <w:p w:rsidR="00000000" w:rsidDel="00000000" w:rsidP="00000000" w:rsidRDefault="00000000" w:rsidRPr="00000000" w14:paraId="00000049">
      <w:pPr>
        <w:numPr>
          <w:ilvl w:val="0"/>
          <w:numId w:val="15"/>
        </w:numPr>
        <w:ind w:left="720" w:hanging="360"/>
      </w:pPr>
      <w:r w:rsidDel="00000000" w:rsidR="00000000" w:rsidRPr="00000000">
        <w:rPr>
          <w:color w:val="0e101a"/>
          <w:rtl w:val="0"/>
        </w:rPr>
        <w:t xml:space="preserve">Immunological Research: The Lymphoproliferation Assay is widely used in immunological research to study T cell responses against specific antigens. It helps determine the specificity and magnitude of T cell responses, assess the efficacy of vaccines, evaluate immune cell function in diseases, and investigate mechanisms of immunopathology.</w:t>
      </w:r>
    </w:p>
    <w:p w:rsidR="00000000" w:rsidDel="00000000" w:rsidP="00000000" w:rsidRDefault="00000000" w:rsidRPr="00000000" w14:paraId="0000004A">
      <w:pPr>
        <w:numPr>
          <w:ilvl w:val="0"/>
          <w:numId w:val="15"/>
        </w:numPr>
        <w:ind w:left="720" w:hanging="360"/>
      </w:pPr>
      <w:r w:rsidDel="00000000" w:rsidR="00000000" w:rsidRPr="00000000">
        <w:rPr>
          <w:color w:val="0e101a"/>
          <w:rtl w:val="0"/>
        </w:rPr>
        <w:t xml:space="preserve">Clinical Diagnostics: The assay can be employed in clinical diagnostics to evaluate immune function in patients with suspected immunodeficiencies, monitor T cell responses in transplant recipients, assess the effectiveness of immunotherapies, and diagnose certain viral infections like HIV or Epstein-Barr virus.</w:t>
      </w:r>
    </w:p>
    <w:p w:rsidR="00000000" w:rsidDel="00000000" w:rsidP="00000000" w:rsidRDefault="00000000" w:rsidRPr="00000000" w14:paraId="0000004B">
      <w:pPr>
        <w:rPr>
          <w:color w:val="0e101a"/>
        </w:rPr>
      </w:pPr>
      <w:r w:rsidDel="00000000" w:rsidR="00000000" w:rsidRPr="00000000">
        <w:rPr>
          <w:color w:val="0e101a"/>
          <w:rtl w:val="0"/>
        </w:rPr>
        <w:t xml:space="preserve">Mixed Lymphocyte Reaction (MLR): Principle: The Mixed Lymphocyte Reaction measures the alloreactivity between T cells from two different individuals. It assesses the ability of T cells to recognize and respond to foreign major histocompatibility complex (MHC) antigens presented by antigen-presenting cells (APCs) derived from another individual.</w:t>
      </w:r>
    </w:p>
    <w:p w:rsidR="00000000" w:rsidDel="00000000" w:rsidP="00000000" w:rsidRDefault="00000000" w:rsidRPr="00000000" w14:paraId="0000004C">
      <w:pPr>
        <w:rPr>
          <w:color w:val="0e101a"/>
        </w:rPr>
      </w:pPr>
      <w:r w:rsidDel="00000000" w:rsidR="00000000" w:rsidRPr="00000000">
        <w:rPr>
          <w:color w:val="0e101a"/>
          <w:rtl w:val="0"/>
        </w:rPr>
        <w:t xml:space="preserve">Process:</w:t>
      </w:r>
    </w:p>
    <w:p w:rsidR="00000000" w:rsidDel="00000000" w:rsidP="00000000" w:rsidRDefault="00000000" w:rsidRPr="00000000" w14:paraId="0000004D">
      <w:pPr>
        <w:numPr>
          <w:ilvl w:val="0"/>
          <w:numId w:val="13"/>
        </w:numPr>
        <w:ind w:left="720" w:hanging="360"/>
      </w:pPr>
      <w:r w:rsidDel="00000000" w:rsidR="00000000" w:rsidRPr="00000000">
        <w:rPr>
          <w:color w:val="0e101a"/>
          <w:rtl w:val="0"/>
        </w:rPr>
        <w:t xml:space="preserve">Isolation of PBMCs: PBMCs are isolated from two individuals, referred to as the responder and stimulator, respectively.</w:t>
      </w:r>
    </w:p>
    <w:p w:rsidR="00000000" w:rsidDel="00000000" w:rsidP="00000000" w:rsidRDefault="00000000" w:rsidRPr="00000000" w14:paraId="0000004E">
      <w:pPr>
        <w:numPr>
          <w:ilvl w:val="0"/>
          <w:numId w:val="13"/>
        </w:numPr>
        <w:ind w:left="720" w:hanging="360"/>
      </w:pPr>
      <w:r w:rsidDel="00000000" w:rsidR="00000000" w:rsidRPr="00000000">
        <w:rPr>
          <w:color w:val="0e101a"/>
          <w:rtl w:val="0"/>
        </w:rPr>
        <w:t xml:space="preserve">Labeling Cells: The responder cells are labeled with a fluorescent dye, such as carboxyfluorescein succinimidyl ester (CFSE), to track their division during the reaction.</w:t>
      </w:r>
    </w:p>
    <w:p w:rsidR="00000000" w:rsidDel="00000000" w:rsidP="00000000" w:rsidRDefault="00000000" w:rsidRPr="00000000" w14:paraId="0000004F">
      <w:pPr>
        <w:numPr>
          <w:ilvl w:val="0"/>
          <w:numId w:val="13"/>
        </w:numPr>
        <w:ind w:left="720" w:hanging="360"/>
      </w:pPr>
      <w:r w:rsidDel="00000000" w:rsidR="00000000" w:rsidRPr="00000000">
        <w:rPr>
          <w:color w:val="0e101a"/>
          <w:rtl w:val="0"/>
        </w:rPr>
        <w:t xml:space="preserve">Cell Co-Culture: The responder and stimulator PBMCs are mixed and co-cultured together. The stimulator cells act as APCs and present foreign MHC antigens to the responder T cells.</w:t>
      </w:r>
    </w:p>
    <w:p w:rsidR="00000000" w:rsidDel="00000000" w:rsidP="00000000" w:rsidRDefault="00000000" w:rsidRPr="00000000" w14:paraId="00000050">
      <w:pPr>
        <w:numPr>
          <w:ilvl w:val="0"/>
          <w:numId w:val="13"/>
        </w:numPr>
        <w:ind w:left="720" w:hanging="360"/>
      </w:pPr>
      <w:r w:rsidDel="00000000" w:rsidR="00000000" w:rsidRPr="00000000">
        <w:rPr>
          <w:color w:val="0e101a"/>
          <w:rtl w:val="0"/>
        </w:rPr>
        <w:t xml:space="preserve">T Cell Activation and Proliferation: Upon encountering foreign MHC antigens, responder T cells become activated and undergo clonal expansion, resulting in cell division and dilution of the fluorescent dye.</w:t>
      </w:r>
    </w:p>
    <w:p w:rsidR="00000000" w:rsidDel="00000000" w:rsidP="00000000" w:rsidRDefault="00000000" w:rsidRPr="00000000" w14:paraId="00000051">
      <w:pPr>
        <w:numPr>
          <w:ilvl w:val="0"/>
          <w:numId w:val="13"/>
        </w:numPr>
        <w:ind w:left="720" w:hanging="360"/>
      </w:pPr>
      <w:r w:rsidDel="00000000" w:rsidR="00000000" w:rsidRPr="00000000">
        <w:rPr>
          <w:color w:val="0e101a"/>
          <w:rtl w:val="0"/>
        </w:rPr>
        <w:t xml:space="preserve">Flow Cytometry Analysis: Following the co-culture period, the cells are analyzed using flow cytometry to determine the division of responder T cells by monitoring the decrease in fluorescence intensity. This indicates the extent of T cell proliferation and alloreactivity.</w:t>
      </w:r>
    </w:p>
    <w:p w:rsidR="00000000" w:rsidDel="00000000" w:rsidP="00000000" w:rsidRDefault="00000000" w:rsidRPr="00000000" w14:paraId="00000052">
      <w:pPr>
        <w:rPr>
          <w:color w:val="0e101a"/>
        </w:rPr>
      </w:pPr>
      <w:r w:rsidDel="00000000" w:rsidR="00000000" w:rsidRPr="00000000">
        <w:rPr>
          <w:color w:val="0e101a"/>
          <w:rtl w:val="0"/>
        </w:rPr>
        <w:t xml:space="preserve">Applications:</w:t>
      </w:r>
    </w:p>
    <w:p w:rsidR="00000000" w:rsidDel="00000000" w:rsidP="00000000" w:rsidRDefault="00000000" w:rsidRPr="00000000" w14:paraId="00000053">
      <w:pPr>
        <w:numPr>
          <w:ilvl w:val="0"/>
          <w:numId w:val="2"/>
        </w:numPr>
        <w:ind w:left="720" w:hanging="360"/>
      </w:pPr>
      <w:r w:rsidDel="00000000" w:rsidR="00000000" w:rsidRPr="00000000">
        <w:rPr>
          <w:color w:val="0e101a"/>
          <w:rtl w:val="0"/>
        </w:rPr>
        <w:t xml:space="preserve">Transplantation: The MLR is extensively used in transplantation medicine to assess the compatibility between the donor and recipient in terms of MHC antigens. It helps predict the risk of graft rejection, identify potential matches for organ transplantation, and monitor immune responses in transplant recipients.</w:t>
      </w:r>
    </w:p>
    <w:p w:rsidR="00000000" w:rsidDel="00000000" w:rsidP="00000000" w:rsidRDefault="00000000" w:rsidRPr="00000000" w14:paraId="00000054">
      <w:pPr>
        <w:numPr>
          <w:ilvl w:val="0"/>
          <w:numId w:val="2"/>
        </w:numPr>
        <w:ind w:left="720" w:hanging="360"/>
      </w:pPr>
      <w:r w:rsidDel="00000000" w:rsidR="00000000" w:rsidRPr="00000000">
        <w:rPr>
          <w:color w:val="0e101a"/>
          <w:rtl w:val="0"/>
        </w:rPr>
        <w:t xml:space="preserve">Immunological Research: The MLR provides a tool to study immune recognition and the mechanisms of T cell alloreactivity. It aids in understanding the role of MHC molecules in immune responses, investigating T cell receptor signaling, and exploring the immunogenicity of various antigens.</w:t>
      </w:r>
    </w:p>
    <w:p w:rsidR="00000000" w:rsidDel="00000000" w:rsidP="00000000" w:rsidRDefault="00000000" w:rsidRPr="00000000" w14:paraId="00000055">
      <w:pPr>
        <w:rPr>
          <w:color w:val="0e101a"/>
        </w:rPr>
      </w:pPr>
      <w:r w:rsidDel="00000000" w:rsidR="00000000" w:rsidRPr="00000000">
        <w:rPr>
          <w:color w:val="0e101a"/>
          <w:rtl w:val="0"/>
        </w:rPr>
        <w:t xml:space="preserve">These assays, the Lymphoproliferation Assay and the Mixed Lymphocyte Reaction, play crucial roles in immunological research and clinical diagnostics. They provide valuable information about T cell function, immune responses, and compatibility between individuals. By employing these assays, researchers and clinicians can gain insights into immune-mediated diseases, evaluate immune status, and make informed decisions regarding immunotherapies and transplantation.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rtl w:val="0"/>
        </w:rPr>
        <w:t xml:space="preserve">12.a)</w:t>
      </w:r>
      <w:r w:rsidDel="00000000" w:rsidR="00000000" w:rsidRPr="00000000">
        <w:rPr>
          <w:color w:val="0e101a"/>
          <w:rtl w:val="0"/>
        </w:rPr>
        <w:t xml:space="preserve">Immunocytochemistry techniques, including immune fluorescence, immuno-enzymatic, and immunoferritin techniques, are commonly used to visualize and localize specific proteins or antigens within cells or tissues. These techniques rely on the specific binding of antibodies to target molecules, allowing for their detection and visualization. While all three techniques employ the principles of antigen-antibody interactions, they differ in their detection systems and visualization methods. Let's explore each technique and compare their methodologies, detection systems, and visualization methods.</w:t>
      </w:r>
    </w:p>
    <w:p w:rsidR="00000000" w:rsidDel="00000000" w:rsidP="00000000" w:rsidRDefault="00000000" w:rsidRPr="00000000" w14:paraId="00000059">
      <w:pPr>
        <w:numPr>
          <w:ilvl w:val="0"/>
          <w:numId w:val="12"/>
        </w:numPr>
        <w:ind w:left="720" w:hanging="360"/>
      </w:pPr>
      <w:r w:rsidDel="00000000" w:rsidR="00000000" w:rsidRPr="00000000">
        <w:rPr>
          <w:color w:val="0e101a"/>
          <w:rtl w:val="0"/>
        </w:rPr>
        <w:t xml:space="preserve">Immunofluorescence: Principle: Immunofluorescence utilizes fluorescently labeled antibodies to detect and visualize target antigens. The fluorescent labels emit light at specific wavelengths when excited by an appropriate light source, allowing for the visualization of the labeled antigens.</w:t>
      </w:r>
    </w:p>
    <w:p w:rsidR="00000000" w:rsidDel="00000000" w:rsidP="00000000" w:rsidRDefault="00000000" w:rsidRPr="00000000" w14:paraId="0000005A">
      <w:pPr>
        <w:rPr>
          <w:color w:val="0e101a"/>
        </w:rPr>
      </w:pPr>
      <w:r w:rsidDel="00000000" w:rsidR="00000000" w:rsidRPr="00000000">
        <w:rPr>
          <w:color w:val="0e101a"/>
          <w:rtl w:val="0"/>
        </w:rPr>
        <w:t xml:space="preserve">Methodology: a. Direct Immunofluorescence: In this method, a primary antibody directly conjugated to a fluorescent dye is used to bind to the target antigen. This approach is suitable for detecting antigens with high specificity. b. Indirect Immunofluorescence: This method involves the use of a primary antibody that specifically binds to the target antigen, followed by a secondary antibody labeled with a fluorophore. The secondary antibody recognizes and binds to the primary antibody, amplifying the signal.</w:t>
      </w:r>
    </w:p>
    <w:p w:rsidR="00000000" w:rsidDel="00000000" w:rsidP="00000000" w:rsidRDefault="00000000" w:rsidRPr="00000000" w14:paraId="0000005B">
      <w:pPr>
        <w:rPr>
          <w:color w:val="0e101a"/>
        </w:rPr>
      </w:pPr>
      <w:r w:rsidDel="00000000" w:rsidR="00000000" w:rsidRPr="00000000">
        <w:rPr>
          <w:color w:val="0e101a"/>
          <w:rtl w:val="0"/>
        </w:rPr>
        <w:t xml:space="preserve">Detection System: Fluorescent microscopy is used to visualize the labeled antigens. Specific filters are used to excite and collect the emitted fluorescence signal.</w:t>
      </w:r>
    </w:p>
    <w:p w:rsidR="00000000" w:rsidDel="00000000" w:rsidP="00000000" w:rsidRDefault="00000000" w:rsidRPr="00000000" w14:paraId="0000005C">
      <w:pPr>
        <w:rPr>
          <w:color w:val="0e101a"/>
        </w:rPr>
      </w:pPr>
      <w:r w:rsidDel="00000000" w:rsidR="00000000" w:rsidRPr="00000000">
        <w:rPr>
          <w:color w:val="0e101a"/>
          <w:rtl w:val="0"/>
        </w:rPr>
        <w:t xml:space="preserve">Visualization Method: The labeled antigens appear as brightly colored fluorescence signals against a dark background.</w:t>
      </w:r>
    </w:p>
    <w:p w:rsidR="00000000" w:rsidDel="00000000" w:rsidP="00000000" w:rsidRDefault="00000000" w:rsidRPr="00000000" w14:paraId="0000005D">
      <w:pPr>
        <w:rPr>
          <w:color w:val="0e101a"/>
        </w:rPr>
      </w:pPr>
      <w:r w:rsidDel="00000000" w:rsidR="00000000" w:rsidRPr="00000000">
        <w:rPr>
          <w:color w:val="0e101a"/>
          <w:rtl w:val="0"/>
        </w:rPr>
        <w:t xml:space="preserve">Applications: Immunofluorescence is widely used in cellular and molecular biology research to study protein localization, intracellular signaling, and protein-protein interactions. It is also employed in clinical diagnostics, such as the identification of specific markers in tissue samples for disease diagnosis.</w:t>
      </w:r>
    </w:p>
    <w:p w:rsidR="00000000" w:rsidDel="00000000" w:rsidP="00000000" w:rsidRDefault="00000000" w:rsidRPr="00000000" w14:paraId="0000005E">
      <w:pPr>
        <w:numPr>
          <w:ilvl w:val="0"/>
          <w:numId w:val="10"/>
        </w:numPr>
        <w:ind w:left="720" w:hanging="360"/>
      </w:pPr>
      <w:r w:rsidDel="00000000" w:rsidR="00000000" w:rsidRPr="00000000">
        <w:rPr>
          <w:color w:val="0e101a"/>
          <w:rtl w:val="0"/>
        </w:rPr>
        <w:t xml:space="preserve">Immuno-enzymatic Techniques: Principle: Immuno-enzymatic techniques use enzyme-labeled antibodies for the detection and localization of antigens. The enzyme-labeled antibodies produce a colored or fluorescent signal upon interaction with a substrate, enabling the visualization of the target antigen.</w:t>
      </w:r>
    </w:p>
    <w:p w:rsidR="00000000" w:rsidDel="00000000" w:rsidP="00000000" w:rsidRDefault="00000000" w:rsidRPr="00000000" w14:paraId="0000005F">
      <w:pPr>
        <w:rPr>
          <w:color w:val="0e101a"/>
        </w:rPr>
      </w:pPr>
      <w:r w:rsidDel="00000000" w:rsidR="00000000" w:rsidRPr="00000000">
        <w:rPr>
          <w:color w:val="0e101a"/>
          <w:rtl w:val="0"/>
        </w:rPr>
        <w:t xml:space="preserve">Methodology: a. Peroxidase-based Techniques: In this approach, the primary antibody binds to the target antigen, followed by the addition of a secondary antibody labeled with an enzyme, such as horseradish peroxidase (HRP). The substrate, typically a chromogenic molecule, is added, and the enzymatic reaction generates a colored product. b. Alkaline Phosphatase-based Techniques: Similar to peroxidase-based techniques, this method employs an enzyme-labeled secondary antibody, usually alkaline phosphatase (AP). The substrate, such as Fast Red or 5-bromo-4-chloro-3-indolyl phosphate (BCIP), produces a visible colored or fluorescent precipitate.</w:t>
      </w:r>
    </w:p>
    <w:p w:rsidR="00000000" w:rsidDel="00000000" w:rsidP="00000000" w:rsidRDefault="00000000" w:rsidRPr="00000000" w14:paraId="00000060">
      <w:pPr>
        <w:rPr>
          <w:color w:val="0e101a"/>
        </w:rPr>
      </w:pPr>
      <w:r w:rsidDel="00000000" w:rsidR="00000000" w:rsidRPr="00000000">
        <w:rPr>
          <w:color w:val="0e101a"/>
          <w:rtl w:val="0"/>
        </w:rPr>
        <w:t xml:space="preserve">Detection System: The colored or fluorescent signals generated by the enzyme-substrate reaction are visualized using bright-field or fluorescence microscopy.</w:t>
      </w:r>
    </w:p>
    <w:p w:rsidR="00000000" w:rsidDel="00000000" w:rsidP="00000000" w:rsidRDefault="00000000" w:rsidRPr="00000000" w14:paraId="00000061">
      <w:pPr>
        <w:rPr>
          <w:color w:val="0e101a"/>
        </w:rPr>
      </w:pPr>
      <w:r w:rsidDel="00000000" w:rsidR="00000000" w:rsidRPr="00000000">
        <w:rPr>
          <w:color w:val="0e101a"/>
          <w:rtl w:val="0"/>
        </w:rPr>
        <w:t xml:space="preserve">Visualization Method: The target antigens appear as colored or fluorescent signals against a background.</w:t>
      </w:r>
    </w:p>
    <w:p w:rsidR="00000000" w:rsidDel="00000000" w:rsidP="00000000" w:rsidRDefault="00000000" w:rsidRPr="00000000" w14:paraId="00000062">
      <w:pPr>
        <w:rPr>
          <w:color w:val="0e101a"/>
        </w:rPr>
      </w:pPr>
      <w:r w:rsidDel="00000000" w:rsidR="00000000" w:rsidRPr="00000000">
        <w:rPr>
          <w:color w:val="0e101a"/>
          <w:rtl w:val="0"/>
        </w:rPr>
        <w:t xml:space="preserve">Applications: Immuno-enzymatic techniques are commonly used in histopathology and immunohistochemistry to detect antigens in tissue sections, analyze cellular localization, and assess protein expression levels. They are also employed in research and clinical diagnostics for a wide range of applications, including cancer biomarker detection and molecular pathology studies.</w:t>
      </w:r>
    </w:p>
    <w:p w:rsidR="00000000" w:rsidDel="00000000" w:rsidP="00000000" w:rsidRDefault="00000000" w:rsidRPr="00000000" w14:paraId="00000063">
      <w:pPr>
        <w:numPr>
          <w:ilvl w:val="0"/>
          <w:numId w:val="3"/>
        </w:numPr>
        <w:ind w:left="720" w:hanging="360"/>
      </w:pPr>
      <w:r w:rsidDel="00000000" w:rsidR="00000000" w:rsidRPr="00000000">
        <w:rPr>
          <w:color w:val="0e101a"/>
          <w:rtl w:val="0"/>
        </w:rPr>
        <w:t xml:space="preserve">Immunoferritin Technique: Principle: The immunoferritin technique utilizes electron microscopy to visualize antigens using ferritin-labeled antibodies. Ferritin is an iron storage protein that can be conjugated to antibodies and visualized at the ultrastructural level using electron microscopy.</w:t>
      </w:r>
    </w:p>
    <w:p w:rsidR="00000000" w:rsidDel="00000000" w:rsidP="00000000" w:rsidRDefault="00000000" w:rsidRPr="00000000" w14:paraId="00000064">
      <w:pPr>
        <w:rPr>
          <w:color w:val="0e101a"/>
        </w:rPr>
      </w:pPr>
      <w:r w:rsidDel="00000000" w:rsidR="00000000" w:rsidRPr="00000000">
        <w:rPr>
          <w:color w:val="0e101a"/>
          <w:rtl w:val="0"/>
        </w:rPr>
        <w:t xml:space="preserve">Methodology: The primary antibody binds to the target antigen, followed by the addition of a secondary antibody labeled with ferritin. The ferritin particles appear as electron-dense markers around the target antigen.</w:t>
      </w:r>
    </w:p>
    <w:p w:rsidR="00000000" w:rsidDel="00000000" w:rsidP="00000000" w:rsidRDefault="00000000" w:rsidRPr="00000000" w14:paraId="00000065">
      <w:pPr>
        <w:rPr>
          <w:color w:val="0e101a"/>
        </w:rPr>
      </w:pPr>
      <w:r w:rsidDel="00000000" w:rsidR="00000000" w:rsidRPr="00000000">
        <w:rPr>
          <w:color w:val="0e101a"/>
          <w:rtl w:val="0"/>
        </w:rPr>
        <w:t xml:space="preserve">Detection System: Electron microscopy is employed to visualize the ferritin-labeled antigens. The electron beam interacts with the ferritin particles, producing a contrast in the resulting electron micrograph.</w:t>
      </w:r>
    </w:p>
    <w:p w:rsidR="00000000" w:rsidDel="00000000" w:rsidP="00000000" w:rsidRDefault="00000000" w:rsidRPr="00000000" w14:paraId="00000066">
      <w:pPr>
        <w:rPr>
          <w:color w:val="0e101a"/>
        </w:rPr>
      </w:pPr>
      <w:r w:rsidDel="00000000" w:rsidR="00000000" w:rsidRPr="00000000">
        <w:rPr>
          <w:color w:val="0e101a"/>
          <w:rtl w:val="0"/>
        </w:rPr>
        <w:t xml:space="preserve">Visualization Method: The ferritin-labeled antigens appear as dark electron-dense particles against a lighter background in electron micrographs.</w:t>
      </w:r>
    </w:p>
    <w:p w:rsidR="00000000" w:rsidDel="00000000" w:rsidP="00000000" w:rsidRDefault="00000000" w:rsidRPr="00000000" w14:paraId="00000067">
      <w:pPr>
        <w:rPr>
          <w:color w:val="0e101a"/>
        </w:rPr>
      </w:pPr>
      <w:r w:rsidDel="00000000" w:rsidR="00000000" w:rsidRPr="00000000">
        <w:rPr>
          <w:color w:val="0e101a"/>
          <w:rtl w:val="0"/>
        </w:rPr>
        <w:t xml:space="preserve">Applications: The immunoferritin technique is particularly useful for visualizing antigens at the ultrastructural level, providing high-resolution localization of proteins within cells or tissues. It is commonly employed in cell biology and research fields where detailed visualization of subcellular structures is required.</w:t>
      </w:r>
    </w:p>
    <w:p w:rsidR="00000000" w:rsidDel="00000000" w:rsidP="00000000" w:rsidRDefault="00000000" w:rsidRPr="00000000" w14:paraId="00000068">
      <w:pPr>
        <w:rPr>
          <w:color w:val="0e101a"/>
        </w:rPr>
      </w:pPr>
      <w:r w:rsidDel="00000000" w:rsidR="00000000" w:rsidRPr="00000000">
        <w:rPr>
          <w:color w:val="0e101a"/>
          <w:rtl w:val="0"/>
        </w:rPr>
        <w:t xml:space="preserve">In summary, immune fluorescence, immuno-enzymatic, and immunoferritin techniques are valuable tools for visualizing antigens within cells or tissues. Immune fluorescence utilizes fluorescently labeled antibodies and fluorescence microscopy, while immuno-enzymatic techniques rely on enzyme-labeled antibodies and colored or fluorescent substrates. The immunoferritin technique employs ferritin-labeled antibodies and electron microscopy for ultrastructural visualization. Each technique has its own advantages and applications, offering researchers different approaches to visualize and study antigen localization and protein expression in various biological samples.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e101a"/>
        </w:rPr>
      </w:pPr>
      <w:r w:rsidDel="00000000" w:rsidR="00000000" w:rsidRPr="00000000">
        <w:rPr>
          <w:rtl w:val="0"/>
        </w:rPr>
        <w:t xml:space="preserve">13.a)</w:t>
      </w:r>
      <w:r w:rsidDel="00000000" w:rsidR="00000000" w:rsidRPr="00000000">
        <w:rPr>
          <w:color w:val="0e101a"/>
          <w:rtl w:val="0"/>
        </w:rPr>
        <w:t xml:space="preserve">Engineered antibodies play a critical role in immunotherapy, a rapidly advancing field that utilizes the immune system to treat diseases, including cancer, autoimmune disorders, and infectious diseases. By modifying and optimizing antibodies, researchers can enhance their therapeutic efficacy, reduce side effects, and increase specificity. This is achieved through processes such as antibody engineering, which includes the generation of chimeric, humanized, and fully human antibodies. Let's explore these concepts and the process of engineering antibodies in more detail.</w:t>
      </w:r>
    </w:p>
    <w:p w:rsidR="00000000" w:rsidDel="00000000" w:rsidP="00000000" w:rsidRDefault="00000000" w:rsidRPr="00000000" w14:paraId="0000006B">
      <w:pPr>
        <w:rPr>
          <w:color w:val="0e101a"/>
        </w:rPr>
      </w:pPr>
      <w:r w:rsidDel="00000000" w:rsidR="00000000" w:rsidRPr="00000000">
        <w:rPr>
          <w:color w:val="0e101a"/>
          <w:rtl w:val="0"/>
        </w:rPr>
        <w:t xml:space="preserve">Concept of Engineered Antibodies in Immunotherapy: Engineered antibodies are designed to target specific antigens and trigger immune responses against disease cells or molecules. They are created by modifying the structure and properties of naturally occurring antibodies, typically derived from human or animal sources. Engineered antibodies offer advantages such as improved binding affinity, reduced immunogenicity, enhanced tumor penetration, and enhanced effector functions, making them powerful tools in immunotherapy.</w:t>
      </w:r>
    </w:p>
    <w:p w:rsidR="00000000" w:rsidDel="00000000" w:rsidP="00000000" w:rsidRDefault="00000000" w:rsidRPr="00000000" w14:paraId="0000006C">
      <w:pPr>
        <w:rPr>
          <w:color w:val="0e101a"/>
        </w:rPr>
      </w:pPr>
      <w:r w:rsidDel="00000000" w:rsidR="00000000" w:rsidRPr="00000000">
        <w:rPr>
          <w:color w:val="0e101a"/>
          <w:rtl w:val="0"/>
        </w:rPr>
        <w:t xml:space="preserve">Process of Engineering Antibodies:</w:t>
      </w:r>
    </w:p>
    <w:p w:rsidR="00000000" w:rsidDel="00000000" w:rsidP="00000000" w:rsidRDefault="00000000" w:rsidRPr="00000000" w14:paraId="0000006D">
      <w:pPr>
        <w:numPr>
          <w:ilvl w:val="0"/>
          <w:numId w:val="11"/>
        </w:numPr>
        <w:ind w:left="720" w:hanging="360"/>
      </w:pPr>
      <w:r w:rsidDel="00000000" w:rsidR="00000000" w:rsidRPr="00000000">
        <w:rPr>
          <w:color w:val="0e101a"/>
          <w:rtl w:val="0"/>
        </w:rPr>
        <w:t xml:space="preserve">Monoclonal Antibody Generation: Initially, monoclonal antibodies are generated through the immunization of animals, such as mice, with the target antigen. B cells producing antibodies against the antigen of interest are isolated and fused with immortalized myeloma cells to generate hybridoma cells.</w:t>
      </w:r>
    </w:p>
    <w:p w:rsidR="00000000" w:rsidDel="00000000" w:rsidP="00000000" w:rsidRDefault="00000000" w:rsidRPr="00000000" w14:paraId="0000006E">
      <w:pPr>
        <w:numPr>
          <w:ilvl w:val="0"/>
          <w:numId w:val="11"/>
        </w:numPr>
        <w:ind w:left="720" w:hanging="360"/>
      </w:pPr>
      <w:r w:rsidDel="00000000" w:rsidR="00000000" w:rsidRPr="00000000">
        <w:rPr>
          <w:color w:val="0e101a"/>
          <w:rtl w:val="0"/>
        </w:rPr>
        <w:t xml:space="preserve">Chimeric Antibodies: Chimeric antibodies are engineered to combine the antigen-binding region (variable regions) of an animal-derived antibody with the constant regions from a human antibody. This is achieved by cloning the DNA sequences encoding the variable regions of the animal antibody and the constant regions of a human antibody, resulting in a chimera with reduced immunogenicity.</w:t>
      </w:r>
    </w:p>
    <w:p w:rsidR="00000000" w:rsidDel="00000000" w:rsidP="00000000" w:rsidRDefault="00000000" w:rsidRPr="00000000" w14:paraId="0000006F">
      <w:pPr>
        <w:numPr>
          <w:ilvl w:val="0"/>
          <w:numId w:val="11"/>
        </w:numPr>
        <w:ind w:left="720" w:hanging="360"/>
      </w:pPr>
      <w:r w:rsidDel="00000000" w:rsidR="00000000" w:rsidRPr="00000000">
        <w:rPr>
          <w:color w:val="0e101a"/>
          <w:rtl w:val="0"/>
        </w:rPr>
        <w:t xml:space="preserve">Humanized Antibodies: Humanized antibodies aim to retain the antigen-binding specificity of the original animal-derived antibody while reducing the foreign components. This involves grafting the complementarity-determining regions (CDRs) from the animal antibody onto a framework derived from human antibodies. The resulting humanized antibody exhibits enhanced compatibility with the human immune system.</w:t>
      </w:r>
    </w:p>
    <w:p w:rsidR="00000000" w:rsidDel="00000000" w:rsidP="00000000" w:rsidRDefault="00000000" w:rsidRPr="00000000" w14:paraId="00000070">
      <w:pPr>
        <w:numPr>
          <w:ilvl w:val="0"/>
          <w:numId w:val="11"/>
        </w:numPr>
        <w:ind w:left="720" w:hanging="360"/>
      </w:pPr>
      <w:r w:rsidDel="00000000" w:rsidR="00000000" w:rsidRPr="00000000">
        <w:rPr>
          <w:color w:val="0e101a"/>
          <w:rtl w:val="0"/>
        </w:rPr>
        <w:t xml:space="preserve">Fully Human Antibodies: Fully human antibodies are generated to eliminate potential immunogenicity concerns associated with animal-derived components. Multiple techniques are employed, such as phage display or transgenic animal models, to produce antibodies derived from human sources. These antibodies closely resemble naturally occurring human antibodies and have a reduced risk of eliciting an immune response in patients.</w:t>
      </w:r>
    </w:p>
    <w:p w:rsidR="00000000" w:rsidDel="00000000" w:rsidP="00000000" w:rsidRDefault="00000000" w:rsidRPr="00000000" w14:paraId="00000071">
      <w:pPr>
        <w:rPr>
          <w:color w:val="0e101a"/>
        </w:rPr>
      </w:pPr>
      <w:r w:rsidDel="00000000" w:rsidR="00000000" w:rsidRPr="00000000">
        <w:rPr>
          <w:color w:val="0e101a"/>
          <w:rtl w:val="0"/>
        </w:rPr>
        <w:t xml:space="preserve">Applications of Engineered Antibodies in Immunotherapy:</w:t>
      </w:r>
    </w:p>
    <w:p w:rsidR="00000000" w:rsidDel="00000000" w:rsidP="00000000" w:rsidRDefault="00000000" w:rsidRPr="00000000" w14:paraId="00000072">
      <w:pPr>
        <w:numPr>
          <w:ilvl w:val="0"/>
          <w:numId w:val="7"/>
        </w:numPr>
        <w:ind w:left="720" w:hanging="360"/>
      </w:pPr>
      <w:r w:rsidDel="00000000" w:rsidR="00000000" w:rsidRPr="00000000">
        <w:rPr>
          <w:color w:val="0e101a"/>
          <w:rtl w:val="0"/>
        </w:rPr>
        <w:t xml:space="preserve">Cancer Immunotherapy: Engineered antibodies, such as monoclonal antibodies and antibody-drug conjugates, are widely used in cancer immunotherapy. They can target cancer-specific antigens, block tumor-promoting signaling pathways, enhance immune recognition and destruction of cancer cells, and deliver cytotoxic payloads directly to tumors.</w:t>
      </w:r>
    </w:p>
    <w:p w:rsidR="00000000" w:rsidDel="00000000" w:rsidP="00000000" w:rsidRDefault="00000000" w:rsidRPr="00000000" w14:paraId="00000073">
      <w:pPr>
        <w:numPr>
          <w:ilvl w:val="0"/>
          <w:numId w:val="7"/>
        </w:numPr>
        <w:ind w:left="720" w:hanging="360"/>
      </w:pPr>
      <w:r w:rsidDel="00000000" w:rsidR="00000000" w:rsidRPr="00000000">
        <w:rPr>
          <w:color w:val="0e101a"/>
          <w:rtl w:val="0"/>
        </w:rPr>
        <w:t xml:space="preserve">Autoimmune and Inflammatory Diseases: Engineered antibodies are employed in the treatment of autoimmune disorders, including rheumatoid arthritis, psoriasis, and multiple sclerosis. They selectively target immune cells or inflammatory molecules involved in disease pathogenesis, modulating immune responses and reducing inflammation.</w:t>
      </w:r>
    </w:p>
    <w:p w:rsidR="00000000" w:rsidDel="00000000" w:rsidP="00000000" w:rsidRDefault="00000000" w:rsidRPr="00000000" w14:paraId="00000074">
      <w:pPr>
        <w:numPr>
          <w:ilvl w:val="0"/>
          <w:numId w:val="7"/>
        </w:numPr>
        <w:ind w:left="720" w:hanging="360"/>
      </w:pPr>
      <w:r w:rsidDel="00000000" w:rsidR="00000000" w:rsidRPr="00000000">
        <w:rPr>
          <w:color w:val="0e101a"/>
          <w:rtl w:val="0"/>
        </w:rPr>
        <w:t xml:space="preserve">Infectious Diseases: Antibodies engineered to target viral or bacterial antigens are utilized for the treatment and prevention of infectious diseases. They can neutralize pathogens, block their entry into cells, or stimulate immune responses against infections.</w:t>
      </w:r>
    </w:p>
    <w:p w:rsidR="00000000" w:rsidDel="00000000" w:rsidP="00000000" w:rsidRDefault="00000000" w:rsidRPr="00000000" w14:paraId="00000075">
      <w:pPr>
        <w:rPr>
          <w:color w:val="0e101a"/>
        </w:rPr>
      </w:pPr>
      <w:r w:rsidDel="00000000" w:rsidR="00000000" w:rsidRPr="00000000">
        <w:rPr>
          <w:color w:val="0e101a"/>
          <w:rtl w:val="0"/>
        </w:rPr>
        <w:t xml:space="preserve">In summary, engineered antibodies have revolutionized immunotherapy by providing specific and targeted approaches to treat diseases. The process of engineering antibodies involves the generation of chimeric, humanized, and fully human antibodies, each with distinct advantages and reduced immunogenicity. Engineered antibodies find widespread applications in cancer immunotherapy, autoimmune diseases, and infectious diseases, demonstrating their significant potential in improving patient outcomes and advancing personalized medicine.</w:t>
      </w:r>
    </w:p>
    <w:p w:rsidR="00000000" w:rsidDel="00000000" w:rsidP="00000000" w:rsidRDefault="00000000" w:rsidRPr="00000000" w14:paraId="00000076">
      <w:pPr>
        <w:rPr>
          <w:color w:val="0e101a"/>
        </w:rPr>
      </w:pPr>
      <w:r w:rsidDel="00000000" w:rsidR="00000000" w:rsidRPr="00000000">
        <w:rPr>
          <w:rtl w:val="0"/>
        </w:rPr>
        <w:t xml:space="preserve">13.b)</w:t>
      </w:r>
      <w:r w:rsidDel="00000000" w:rsidR="00000000" w:rsidRPr="00000000">
        <w:rPr>
          <w:color w:val="0e101a"/>
          <w:rtl w:val="0"/>
        </w:rPr>
        <w:t xml:space="preserve">Idiotypic antibodies, also known as anti-idiotypic antibodies, play important roles in immune surveillance, immune regulation, and immunotherapy. They are antibodies that specifically recognize and bind to the variable region (idiotype) of other antibodies. Idiotypic antibodies can function as mediators of immune responses, regulators of the immune system, and targets for therapeutic interventions. Let's explore their role, methods for generating idiotypic antibodies, and their potential in personalized medicine and cancer therapy.</w:t>
      </w:r>
    </w:p>
    <w:p w:rsidR="00000000" w:rsidDel="00000000" w:rsidP="00000000" w:rsidRDefault="00000000" w:rsidRPr="00000000" w14:paraId="00000077">
      <w:pPr>
        <w:rPr>
          <w:color w:val="0e101a"/>
        </w:rPr>
      </w:pPr>
      <w:r w:rsidDel="00000000" w:rsidR="00000000" w:rsidRPr="00000000">
        <w:rPr>
          <w:color w:val="0e101a"/>
          <w:rtl w:val="0"/>
        </w:rPr>
        <w:t xml:space="preserve">Role of Idiotypic Antibodies:</w:t>
      </w:r>
    </w:p>
    <w:p w:rsidR="00000000" w:rsidDel="00000000" w:rsidP="00000000" w:rsidRDefault="00000000" w:rsidRPr="00000000" w14:paraId="00000078">
      <w:pPr>
        <w:numPr>
          <w:ilvl w:val="0"/>
          <w:numId w:val="5"/>
        </w:numPr>
        <w:ind w:left="720" w:hanging="360"/>
      </w:pPr>
      <w:r w:rsidDel="00000000" w:rsidR="00000000" w:rsidRPr="00000000">
        <w:rPr>
          <w:color w:val="0e101a"/>
          <w:rtl w:val="0"/>
        </w:rPr>
        <w:t xml:space="preserve">Immune Surveillance: Idiotypic antibodies are involved in immune surveillance, where they recognize and bind to the variable regions of antibodies produced in response to specific antigens. By binding to these variable regions, idiotypic antibodies can interfere with the binding of antigens to their specific antibodies, potentially inhibiting the immune response.</w:t>
      </w:r>
    </w:p>
    <w:p w:rsidR="00000000" w:rsidDel="00000000" w:rsidP="00000000" w:rsidRDefault="00000000" w:rsidRPr="00000000" w14:paraId="00000079">
      <w:pPr>
        <w:numPr>
          <w:ilvl w:val="0"/>
          <w:numId w:val="5"/>
        </w:numPr>
        <w:ind w:left="720" w:hanging="360"/>
      </w:pPr>
      <w:r w:rsidDel="00000000" w:rsidR="00000000" w:rsidRPr="00000000">
        <w:rPr>
          <w:color w:val="0e101a"/>
          <w:rtl w:val="0"/>
        </w:rPr>
        <w:t xml:space="preserve">Immune Regulation: Idiotypic antibodies can regulate immune responses by acting as "internal images" of antigens. They can induce immune tolerance or suppress immune reactions by interacting with B cells, T cells, and other components of the immune system. Idiotypic antibodies can modulate the balance between immune activation and immune tolerance, contributing to immune homeostasis.</w:t>
      </w:r>
    </w:p>
    <w:p w:rsidR="00000000" w:rsidDel="00000000" w:rsidP="00000000" w:rsidRDefault="00000000" w:rsidRPr="00000000" w14:paraId="0000007A">
      <w:pPr>
        <w:numPr>
          <w:ilvl w:val="0"/>
          <w:numId w:val="5"/>
        </w:numPr>
        <w:ind w:left="720" w:hanging="360"/>
      </w:pPr>
      <w:r w:rsidDel="00000000" w:rsidR="00000000" w:rsidRPr="00000000">
        <w:rPr>
          <w:color w:val="0e101a"/>
          <w:rtl w:val="0"/>
        </w:rPr>
        <w:t xml:space="preserve">Immunotherapy: Idiotypic antibodies have significant potential in immunotherapy, particularly in the treatment of cancer. They can be used as therapeutic agents to mimic or block the activity of specific antibodies, acting as surrogate antigens. By targeting the variable regions of antibodies expressed on cancer cells, idiotypic antibodies can elicit immune responses against tumors, leading to tumor cell destruction.</w:t>
      </w:r>
    </w:p>
    <w:p w:rsidR="00000000" w:rsidDel="00000000" w:rsidP="00000000" w:rsidRDefault="00000000" w:rsidRPr="00000000" w14:paraId="0000007B">
      <w:pPr>
        <w:rPr>
          <w:color w:val="0e101a"/>
        </w:rPr>
      </w:pPr>
      <w:r w:rsidDel="00000000" w:rsidR="00000000" w:rsidRPr="00000000">
        <w:rPr>
          <w:color w:val="0e101a"/>
          <w:rtl w:val="0"/>
        </w:rPr>
        <w:t xml:space="preserve">Methods for Generating Idiotypic Antibodies:</w:t>
      </w:r>
    </w:p>
    <w:p w:rsidR="00000000" w:rsidDel="00000000" w:rsidP="00000000" w:rsidRDefault="00000000" w:rsidRPr="00000000" w14:paraId="0000007C">
      <w:pPr>
        <w:numPr>
          <w:ilvl w:val="0"/>
          <w:numId w:val="16"/>
        </w:numPr>
        <w:ind w:left="720" w:hanging="360"/>
      </w:pPr>
      <w:r w:rsidDel="00000000" w:rsidR="00000000" w:rsidRPr="00000000">
        <w:rPr>
          <w:color w:val="0e101a"/>
          <w:rtl w:val="0"/>
        </w:rPr>
        <w:t xml:space="preserve">Immunization: Idiotypic antibodies can be generated by immunizing animals, typically mice, with specific monoclonal antibodies (mAbs). The immune system of the immunized animals recognizes and responds to the variable regions (idiotype) of the mAbs, producing anti-idiotypic antibodies.</w:t>
      </w:r>
    </w:p>
    <w:p w:rsidR="00000000" w:rsidDel="00000000" w:rsidP="00000000" w:rsidRDefault="00000000" w:rsidRPr="00000000" w14:paraId="0000007D">
      <w:pPr>
        <w:numPr>
          <w:ilvl w:val="0"/>
          <w:numId w:val="16"/>
        </w:numPr>
        <w:ind w:left="720" w:hanging="360"/>
      </w:pPr>
      <w:r w:rsidDel="00000000" w:rsidR="00000000" w:rsidRPr="00000000">
        <w:rPr>
          <w:color w:val="0e101a"/>
          <w:rtl w:val="0"/>
        </w:rPr>
        <w:t xml:space="preserve">Hybridoma Technology: Hybridoma technology can be used to generate idiotypic antibodies by fusing spleen cells from immunized animals with myeloma cells to produce hybridoma cells. The resulting hybridomas secrete idiotypic antibodies that recognize the idiotype of the target antibody used for immunization.</w:t>
      </w:r>
    </w:p>
    <w:p w:rsidR="00000000" w:rsidDel="00000000" w:rsidP="00000000" w:rsidRDefault="00000000" w:rsidRPr="00000000" w14:paraId="0000007E">
      <w:pPr>
        <w:numPr>
          <w:ilvl w:val="0"/>
          <w:numId w:val="16"/>
        </w:numPr>
        <w:ind w:left="720" w:hanging="360"/>
      </w:pPr>
      <w:r w:rsidDel="00000000" w:rsidR="00000000" w:rsidRPr="00000000">
        <w:rPr>
          <w:color w:val="0e101a"/>
          <w:rtl w:val="0"/>
        </w:rPr>
        <w:t xml:space="preserve">Phage Display Technology: Phage display technology offers an alternative approach for generating idiotypic antibodies. Synthetic antibody libraries displayed on phage surfaces can be screened for phage clones expressing idiotypic antibodies that specifically bind to the idiotype of the target antibody.</w:t>
      </w:r>
    </w:p>
    <w:p w:rsidR="00000000" w:rsidDel="00000000" w:rsidP="00000000" w:rsidRDefault="00000000" w:rsidRPr="00000000" w14:paraId="0000007F">
      <w:pPr>
        <w:rPr>
          <w:color w:val="0e101a"/>
        </w:rPr>
      </w:pPr>
      <w:r w:rsidDel="00000000" w:rsidR="00000000" w:rsidRPr="00000000">
        <w:rPr>
          <w:color w:val="0e101a"/>
          <w:rtl w:val="0"/>
        </w:rPr>
        <w:t xml:space="preserve">Potential in Personalized Medicine and Cancer Therapy:</w:t>
      </w:r>
    </w:p>
    <w:p w:rsidR="00000000" w:rsidDel="00000000" w:rsidP="00000000" w:rsidRDefault="00000000" w:rsidRPr="00000000" w14:paraId="00000080">
      <w:pPr>
        <w:numPr>
          <w:ilvl w:val="0"/>
          <w:numId w:val="1"/>
        </w:numPr>
        <w:ind w:left="720" w:hanging="360"/>
      </w:pPr>
      <w:r w:rsidDel="00000000" w:rsidR="00000000" w:rsidRPr="00000000">
        <w:rPr>
          <w:color w:val="0e101a"/>
          <w:rtl w:val="0"/>
        </w:rPr>
        <w:t xml:space="preserve">Personalized Medicine: Idiotypic antibodies have potential in personalized medicine as they can target specific antibodies and their idiotype profiles. By understanding an individual's antibody repertoire, including their idiotypes, it may be possible to design tailored therapeutic interventions, monitor immune responses, and predict treatment outcomes.</w:t>
      </w:r>
    </w:p>
    <w:p w:rsidR="00000000" w:rsidDel="00000000" w:rsidP="00000000" w:rsidRDefault="00000000" w:rsidRPr="00000000" w14:paraId="00000081">
      <w:pPr>
        <w:numPr>
          <w:ilvl w:val="0"/>
          <w:numId w:val="1"/>
        </w:numPr>
        <w:ind w:left="720" w:hanging="360"/>
      </w:pPr>
      <w:r w:rsidDel="00000000" w:rsidR="00000000" w:rsidRPr="00000000">
        <w:rPr>
          <w:color w:val="0e101a"/>
          <w:rtl w:val="0"/>
        </w:rPr>
        <w:t xml:space="preserve">Cancer Therapy: Idiotypic antibodies hold promise in cancer therapy, particularly as anti-tumor vaccines or monoclonal antibodies. By targeting the unique idiotype expressed on tumor-specific antibodies, idiotypic antibodies can stimulate immune responses against cancer cells, potentially leading to tumor regression. They can also be used as carriers for targeted drug delivery or in antibody-drug conjugates for selective tumor cell killing.</w:t>
      </w:r>
    </w:p>
    <w:p w:rsidR="00000000" w:rsidDel="00000000" w:rsidP="00000000" w:rsidRDefault="00000000" w:rsidRPr="00000000" w14:paraId="00000082">
      <w:pPr>
        <w:rPr>
          <w:color w:val="0e101a"/>
        </w:rPr>
      </w:pPr>
      <w:r w:rsidDel="00000000" w:rsidR="00000000" w:rsidRPr="00000000">
        <w:rPr>
          <w:color w:val="0e101a"/>
          <w:rtl w:val="0"/>
        </w:rPr>
        <w:t xml:space="preserve">In summary, idiotypic antibodies play important roles in immune surveillance, immune regulation, and immunotherapy. They can interfere with immune responses, regulate immune tolerance, and serve as targets for therapeutic interventions. Idiotypic antibodies can be generated through immunization or phage display methods. Their potential in personalized medicine and cancer therapy lies in their ability to target specific antibodies and their idiotype profiles, allowing for tailored interventions and immune modulation. Further research and development of idiotypic antibodies hold promise for advancing immunotherapy approaches and improving patient outcomes in various diseases, including cancer.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