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F35682" w14:textId="3E20913C" w:rsidR="00DE400D" w:rsidRPr="0043269A" w:rsidRDefault="0043269A" w:rsidP="0043269A">
      <w:pPr>
        <w:spacing w:before="72"/>
        <w:rPr>
          <w:b/>
          <w:color w:val="1F1F1F"/>
          <w:spacing w:val="-7"/>
          <w:sz w:val="52"/>
          <w:szCs w:val="36"/>
        </w:rPr>
      </w:pPr>
      <w:r>
        <w:rPr>
          <w:b/>
          <w:color w:val="1F1F1F"/>
          <w:sz w:val="52"/>
          <w:szCs w:val="36"/>
        </w:rPr>
        <w:t xml:space="preserve">     </w:t>
      </w:r>
      <w:r w:rsidR="00DE400D" w:rsidRPr="00DE400D">
        <w:rPr>
          <w:b/>
          <w:color w:val="1F1F1F"/>
          <w:sz w:val="52"/>
          <w:szCs w:val="36"/>
        </w:rPr>
        <w:t>Data-Driven</w:t>
      </w:r>
      <w:r w:rsidR="00DE400D" w:rsidRPr="00DE400D">
        <w:rPr>
          <w:b/>
          <w:color w:val="1F1F1F"/>
          <w:spacing w:val="-8"/>
          <w:sz w:val="52"/>
          <w:szCs w:val="36"/>
        </w:rPr>
        <w:t xml:space="preserve"> </w:t>
      </w:r>
      <w:r w:rsidR="00DE400D" w:rsidRPr="00DE400D">
        <w:rPr>
          <w:b/>
          <w:color w:val="1F1F1F"/>
          <w:sz w:val="52"/>
          <w:szCs w:val="36"/>
        </w:rPr>
        <w:t>Insights</w:t>
      </w:r>
      <w:r w:rsidR="00DE400D" w:rsidRPr="00DE400D">
        <w:rPr>
          <w:b/>
          <w:color w:val="1F1F1F"/>
          <w:spacing w:val="-10"/>
          <w:sz w:val="52"/>
          <w:szCs w:val="36"/>
        </w:rPr>
        <w:t xml:space="preserve"> </w:t>
      </w:r>
      <w:r w:rsidR="00DE400D" w:rsidRPr="00DE400D">
        <w:rPr>
          <w:b/>
          <w:color w:val="1F1F1F"/>
          <w:sz w:val="52"/>
          <w:szCs w:val="36"/>
        </w:rPr>
        <w:t>into</w:t>
      </w:r>
      <w:r w:rsidR="00DE400D" w:rsidRPr="00DE400D">
        <w:rPr>
          <w:b/>
          <w:color w:val="1F1F1F"/>
          <w:spacing w:val="-6"/>
          <w:sz w:val="52"/>
          <w:szCs w:val="36"/>
        </w:rPr>
        <w:t xml:space="preserve"> </w:t>
      </w:r>
      <w:r w:rsidR="00DE400D" w:rsidRPr="00DE400D">
        <w:rPr>
          <w:b/>
          <w:color w:val="1F1F1F"/>
          <w:sz w:val="52"/>
          <w:szCs w:val="36"/>
        </w:rPr>
        <w:t>Air</w:t>
      </w:r>
      <w:r w:rsidR="00DE400D" w:rsidRPr="00DE400D">
        <w:rPr>
          <w:b/>
          <w:color w:val="1F1F1F"/>
          <w:spacing w:val="-7"/>
          <w:sz w:val="52"/>
          <w:szCs w:val="36"/>
        </w:rPr>
        <w:t xml:space="preserve"> </w:t>
      </w:r>
      <w:r w:rsidR="00DE400D" w:rsidRPr="00DE400D">
        <w:rPr>
          <w:b/>
          <w:color w:val="1F1F1F"/>
          <w:sz w:val="52"/>
          <w:szCs w:val="36"/>
        </w:rPr>
        <w:t>Quality</w:t>
      </w:r>
      <w:r>
        <w:rPr>
          <w:b/>
          <w:color w:val="1F1F1F"/>
          <w:spacing w:val="-5"/>
          <w:sz w:val="52"/>
          <w:szCs w:val="36"/>
        </w:rPr>
        <w:t xml:space="preserve"> </w:t>
      </w:r>
      <w:r w:rsidR="00DE400D" w:rsidRPr="00DE400D">
        <w:rPr>
          <w:b/>
          <w:color w:val="1F1F1F"/>
          <w:sz w:val="52"/>
          <w:szCs w:val="36"/>
        </w:rPr>
        <w:t>Dynamics</w:t>
      </w:r>
      <w:r w:rsidR="00DE400D" w:rsidRPr="00DE400D">
        <w:rPr>
          <w:b/>
          <w:color w:val="1F1F1F"/>
          <w:spacing w:val="-9"/>
          <w:sz w:val="52"/>
          <w:szCs w:val="36"/>
        </w:rPr>
        <w:t xml:space="preserve"> </w:t>
      </w:r>
      <w:r w:rsidR="00DE400D" w:rsidRPr="00DE400D">
        <w:rPr>
          <w:b/>
          <w:color w:val="1F1F1F"/>
          <w:sz w:val="52"/>
          <w:szCs w:val="36"/>
        </w:rPr>
        <w:t>for</w:t>
      </w:r>
      <w:r w:rsidR="00DE400D" w:rsidRPr="00DE400D">
        <w:rPr>
          <w:b/>
          <w:color w:val="1F1F1F"/>
          <w:spacing w:val="-87"/>
          <w:sz w:val="52"/>
          <w:szCs w:val="36"/>
        </w:rPr>
        <w:t xml:space="preserve"> </w:t>
      </w:r>
      <w:r w:rsidR="00DE400D" w:rsidRPr="00DE400D">
        <w:rPr>
          <w:b/>
          <w:color w:val="1F1F1F"/>
          <w:sz w:val="52"/>
          <w:szCs w:val="36"/>
        </w:rPr>
        <w:t>Environmental</w:t>
      </w:r>
      <w:r>
        <w:rPr>
          <w:b/>
          <w:color w:val="1F1F1F"/>
          <w:spacing w:val="-3"/>
          <w:sz w:val="52"/>
          <w:szCs w:val="36"/>
        </w:rPr>
        <w:t xml:space="preserve"> </w:t>
      </w:r>
      <w:r w:rsidR="00DE400D" w:rsidRPr="00DE400D">
        <w:rPr>
          <w:b/>
          <w:color w:val="1F1F1F"/>
          <w:sz w:val="52"/>
          <w:szCs w:val="36"/>
        </w:rPr>
        <w:t>Sustainability</w:t>
      </w:r>
    </w:p>
    <w:p w14:paraId="15F2CA94" w14:textId="77777777" w:rsidR="00F65174" w:rsidRDefault="00F65174">
      <w:pPr>
        <w:pStyle w:val="BodyText"/>
        <w:ind w:left="0"/>
        <w:jc w:val="left"/>
      </w:pPr>
    </w:p>
    <w:p w14:paraId="1E5252CB" w14:textId="77777777" w:rsidR="00F65174" w:rsidRDefault="00F65174">
      <w:pPr>
        <w:pStyle w:val="BodyText"/>
        <w:spacing w:before="100"/>
        <w:ind w:left="0"/>
        <w:jc w:val="left"/>
      </w:pPr>
    </w:p>
    <w:p w14:paraId="573EE85C" w14:textId="77777777" w:rsidR="00F65174" w:rsidRDefault="00F65174">
      <w:pPr>
        <w:sectPr w:rsidR="00F65174" w:rsidSect="00442600">
          <w:type w:val="continuous"/>
          <w:pgSz w:w="11910" w:h="16840"/>
          <w:pgMar w:top="460" w:right="800" w:bottom="280" w:left="780" w:header="720" w:footer="720" w:gutter="0"/>
          <w:cols w:space="720"/>
        </w:sectPr>
      </w:pPr>
    </w:p>
    <w:p w14:paraId="2364F2DE" w14:textId="1BA18DD0" w:rsidR="00F65174" w:rsidRDefault="00725BBC">
      <w:pPr>
        <w:spacing w:before="93"/>
        <w:ind w:left="544" w:right="351"/>
        <w:jc w:val="center"/>
        <w:rPr>
          <w:sz w:val="18"/>
        </w:rPr>
      </w:pPr>
      <w:r>
        <w:rPr>
          <w:sz w:val="18"/>
        </w:rPr>
        <w:t>Shivraj Nakum</w:t>
      </w:r>
      <w:r w:rsidR="00AA33A9">
        <w:rPr>
          <w:sz w:val="18"/>
        </w:rPr>
        <w:t xml:space="preserve">                 CSE department</w:t>
      </w:r>
    </w:p>
    <w:p w14:paraId="72C5FDEB" w14:textId="5066C112" w:rsidR="00F65174" w:rsidRDefault="00000000">
      <w:pPr>
        <w:ind w:left="187"/>
        <w:jc w:val="center"/>
        <w:rPr>
          <w:sz w:val="18"/>
        </w:rPr>
      </w:pPr>
      <w:r>
        <w:rPr>
          <w:i/>
          <w:sz w:val="18"/>
        </w:rPr>
        <w:t>Pandit</w:t>
      </w:r>
      <w:r>
        <w:rPr>
          <w:i/>
          <w:spacing w:val="-12"/>
          <w:sz w:val="18"/>
        </w:rPr>
        <w:t xml:space="preserve"> </w:t>
      </w:r>
      <w:r>
        <w:rPr>
          <w:i/>
          <w:sz w:val="18"/>
        </w:rPr>
        <w:t>Deendayal</w:t>
      </w:r>
      <w:r>
        <w:rPr>
          <w:i/>
          <w:spacing w:val="-11"/>
          <w:sz w:val="18"/>
        </w:rPr>
        <w:t xml:space="preserve"> </w:t>
      </w:r>
      <w:r>
        <w:rPr>
          <w:i/>
          <w:sz w:val="18"/>
        </w:rPr>
        <w:t>Energy</w:t>
      </w:r>
      <w:r>
        <w:rPr>
          <w:i/>
          <w:spacing w:val="-11"/>
          <w:sz w:val="18"/>
        </w:rPr>
        <w:t xml:space="preserve"> </w:t>
      </w:r>
      <w:r>
        <w:rPr>
          <w:i/>
          <w:sz w:val="18"/>
        </w:rPr>
        <w:t xml:space="preserve">University </w:t>
      </w:r>
      <w:r>
        <w:rPr>
          <w:sz w:val="18"/>
        </w:rPr>
        <w:t xml:space="preserve">Gandhinagar, India </w:t>
      </w:r>
      <w:hyperlink r:id="rId6" w:history="1">
        <w:r w:rsidR="00725BBC" w:rsidRPr="00DD02D1">
          <w:rPr>
            <w:rStyle w:val="Hyperlink"/>
            <w:spacing w:val="-2"/>
            <w:sz w:val="18"/>
          </w:rPr>
          <w:t>shivraj.nce21@sot.pdpu.ac.in</w:t>
        </w:r>
      </w:hyperlink>
    </w:p>
    <w:p w14:paraId="30AB2751" w14:textId="77777777" w:rsidR="00F65174" w:rsidRDefault="00F65174">
      <w:pPr>
        <w:pStyle w:val="BodyText"/>
        <w:spacing w:before="73"/>
        <w:ind w:left="0"/>
        <w:jc w:val="left"/>
        <w:rPr>
          <w:sz w:val="18"/>
        </w:rPr>
      </w:pPr>
    </w:p>
    <w:p w14:paraId="4F3B529C" w14:textId="095848E9" w:rsidR="00F65174" w:rsidRDefault="00000000">
      <w:pPr>
        <w:spacing w:before="93"/>
        <w:ind w:left="964" w:right="774"/>
        <w:jc w:val="center"/>
        <w:rPr>
          <w:sz w:val="18"/>
        </w:rPr>
      </w:pPr>
      <w:r>
        <w:br w:type="column"/>
      </w:r>
      <w:r w:rsidR="00725BBC">
        <w:rPr>
          <w:sz w:val="18"/>
        </w:rPr>
        <w:t>Dhvani</w:t>
      </w:r>
      <w:r>
        <w:rPr>
          <w:sz w:val="18"/>
        </w:rPr>
        <w:t xml:space="preserve"> </w:t>
      </w:r>
      <w:proofErr w:type="gramStart"/>
      <w:r w:rsidR="00AA33A9">
        <w:rPr>
          <w:sz w:val="18"/>
        </w:rPr>
        <w:t xml:space="preserve">Patel </w:t>
      </w:r>
      <w:r>
        <w:rPr>
          <w:sz w:val="18"/>
        </w:rPr>
        <w:t xml:space="preserve"> CSE</w:t>
      </w:r>
      <w:proofErr w:type="gramEnd"/>
      <w:r>
        <w:rPr>
          <w:spacing w:val="-12"/>
          <w:sz w:val="18"/>
        </w:rPr>
        <w:t xml:space="preserve"> </w:t>
      </w:r>
      <w:r>
        <w:rPr>
          <w:sz w:val="18"/>
        </w:rPr>
        <w:t>department</w:t>
      </w:r>
    </w:p>
    <w:p w14:paraId="31DD1320" w14:textId="7355EEC2" w:rsidR="00F65174" w:rsidRDefault="00000000">
      <w:pPr>
        <w:ind w:left="187"/>
        <w:jc w:val="center"/>
        <w:rPr>
          <w:sz w:val="18"/>
        </w:rPr>
      </w:pPr>
      <w:r>
        <w:rPr>
          <w:i/>
          <w:sz w:val="18"/>
        </w:rPr>
        <w:t>Pandit</w:t>
      </w:r>
      <w:r>
        <w:rPr>
          <w:i/>
          <w:spacing w:val="-12"/>
          <w:sz w:val="18"/>
        </w:rPr>
        <w:t xml:space="preserve"> </w:t>
      </w:r>
      <w:r>
        <w:rPr>
          <w:i/>
          <w:sz w:val="18"/>
        </w:rPr>
        <w:t>Deendayal</w:t>
      </w:r>
      <w:r>
        <w:rPr>
          <w:i/>
          <w:spacing w:val="-11"/>
          <w:sz w:val="18"/>
        </w:rPr>
        <w:t xml:space="preserve"> </w:t>
      </w:r>
      <w:r>
        <w:rPr>
          <w:i/>
          <w:sz w:val="18"/>
        </w:rPr>
        <w:t>Energy</w:t>
      </w:r>
      <w:r>
        <w:rPr>
          <w:i/>
          <w:spacing w:val="-11"/>
          <w:sz w:val="18"/>
        </w:rPr>
        <w:t xml:space="preserve"> </w:t>
      </w:r>
      <w:r>
        <w:rPr>
          <w:i/>
          <w:sz w:val="18"/>
        </w:rPr>
        <w:t xml:space="preserve">University </w:t>
      </w:r>
      <w:r>
        <w:rPr>
          <w:sz w:val="18"/>
        </w:rPr>
        <w:t xml:space="preserve">Gandhinagar, India </w:t>
      </w:r>
      <w:hyperlink r:id="rId7" w:history="1">
        <w:r w:rsidR="00725BBC" w:rsidRPr="00DD02D1">
          <w:rPr>
            <w:rStyle w:val="Hyperlink"/>
            <w:spacing w:val="-2"/>
            <w:sz w:val="18"/>
          </w:rPr>
          <w:t>dhvani.pce21@sot.pdpu.ac.in</w:t>
        </w:r>
      </w:hyperlink>
    </w:p>
    <w:p w14:paraId="09336E0C" w14:textId="77777777" w:rsidR="00F65174" w:rsidRDefault="00F65174">
      <w:pPr>
        <w:pStyle w:val="BodyText"/>
        <w:spacing w:before="73"/>
        <w:ind w:left="0"/>
        <w:jc w:val="left"/>
        <w:rPr>
          <w:sz w:val="18"/>
        </w:rPr>
      </w:pPr>
    </w:p>
    <w:p w14:paraId="5A1EC1B2" w14:textId="1F49BB70" w:rsidR="00F65174" w:rsidRDefault="00F65174">
      <w:pPr>
        <w:ind w:left="187"/>
        <w:jc w:val="center"/>
        <w:rPr>
          <w:sz w:val="18"/>
        </w:rPr>
      </w:pPr>
    </w:p>
    <w:p w14:paraId="5FB6D7B9" w14:textId="364F9213" w:rsidR="00AA33A9" w:rsidRDefault="00000000" w:rsidP="00AA33A9">
      <w:pPr>
        <w:spacing w:before="93"/>
        <w:ind w:left="964" w:right="774"/>
        <w:jc w:val="center"/>
        <w:rPr>
          <w:sz w:val="18"/>
        </w:rPr>
      </w:pPr>
      <w:r>
        <w:br w:type="column"/>
      </w:r>
      <w:r w:rsidR="00AA33A9">
        <w:rPr>
          <w:sz w:val="18"/>
        </w:rPr>
        <w:t>Soham Vyas   CSE</w:t>
      </w:r>
      <w:r w:rsidR="00AA33A9">
        <w:rPr>
          <w:spacing w:val="-12"/>
          <w:sz w:val="18"/>
        </w:rPr>
        <w:t xml:space="preserve"> </w:t>
      </w:r>
      <w:r w:rsidR="00AA33A9">
        <w:rPr>
          <w:sz w:val="18"/>
        </w:rPr>
        <w:t>department</w:t>
      </w:r>
    </w:p>
    <w:p w14:paraId="047EC5F4" w14:textId="53B1CFD0" w:rsidR="00AA33A9" w:rsidRDefault="00AA33A9" w:rsidP="00AA33A9">
      <w:pPr>
        <w:ind w:left="187"/>
        <w:jc w:val="center"/>
        <w:rPr>
          <w:sz w:val="18"/>
        </w:rPr>
      </w:pPr>
      <w:r>
        <w:rPr>
          <w:i/>
          <w:sz w:val="18"/>
        </w:rPr>
        <w:t>Pandit</w:t>
      </w:r>
      <w:r>
        <w:rPr>
          <w:i/>
          <w:spacing w:val="-12"/>
          <w:sz w:val="18"/>
        </w:rPr>
        <w:t xml:space="preserve"> </w:t>
      </w:r>
      <w:r>
        <w:rPr>
          <w:i/>
          <w:sz w:val="18"/>
        </w:rPr>
        <w:t>Deendayal</w:t>
      </w:r>
      <w:r>
        <w:rPr>
          <w:i/>
          <w:spacing w:val="-11"/>
          <w:sz w:val="18"/>
        </w:rPr>
        <w:t xml:space="preserve"> </w:t>
      </w:r>
      <w:r>
        <w:rPr>
          <w:i/>
          <w:sz w:val="18"/>
        </w:rPr>
        <w:t>Energy</w:t>
      </w:r>
      <w:r>
        <w:rPr>
          <w:i/>
          <w:spacing w:val="-11"/>
          <w:sz w:val="18"/>
        </w:rPr>
        <w:t xml:space="preserve"> </w:t>
      </w:r>
      <w:r>
        <w:rPr>
          <w:i/>
          <w:sz w:val="18"/>
        </w:rPr>
        <w:t xml:space="preserve">University </w:t>
      </w:r>
      <w:r>
        <w:rPr>
          <w:sz w:val="18"/>
        </w:rPr>
        <w:t xml:space="preserve">Gandhinagar, India </w:t>
      </w:r>
      <w:hyperlink r:id="rId8" w:history="1">
        <w:r w:rsidRPr="002A7CF5">
          <w:rPr>
            <w:rStyle w:val="Hyperlink"/>
            <w:spacing w:val="-2"/>
            <w:sz w:val="18"/>
          </w:rPr>
          <w:t>soham.vyas@sot.pdpu.ac.in</w:t>
        </w:r>
      </w:hyperlink>
    </w:p>
    <w:p w14:paraId="0EE6B129" w14:textId="0E7CCAC8" w:rsidR="00F65174" w:rsidRDefault="00F65174" w:rsidP="00AA33A9">
      <w:pPr>
        <w:spacing w:before="125"/>
        <w:ind w:firstLine="720"/>
        <w:rPr>
          <w:sz w:val="18"/>
        </w:rPr>
        <w:sectPr w:rsidR="00F65174" w:rsidSect="00442600">
          <w:type w:val="continuous"/>
          <w:pgSz w:w="11910" w:h="16840"/>
          <w:pgMar w:top="460" w:right="800" w:bottom="280" w:left="780" w:header="720" w:footer="720" w:gutter="0"/>
          <w:cols w:num="3" w:space="720" w:equalWidth="0">
            <w:col w:w="2928" w:space="687"/>
            <w:col w:w="2929" w:space="684"/>
            <w:col w:w="3102"/>
          </w:cols>
        </w:sectPr>
      </w:pPr>
    </w:p>
    <w:p w14:paraId="51051158" w14:textId="77777777" w:rsidR="00F65174" w:rsidRDefault="00F65174" w:rsidP="0043269A">
      <w:pPr>
        <w:jc w:val="both"/>
        <w:sectPr w:rsidR="00F65174" w:rsidSect="00442600">
          <w:type w:val="continuous"/>
          <w:pgSz w:w="11910" w:h="16840"/>
          <w:pgMar w:top="460" w:right="800" w:bottom="280" w:left="780" w:header="720" w:footer="720" w:gutter="0"/>
          <w:cols w:space="720"/>
        </w:sectPr>
      </w:pPr>
    </w:p>
    <w:p w14:paraId="3216157C" w14:textId="2730E66A" w:rsidR="00725BBC" w:rsidRPr="00725BBC" w:rsidRDefault="00000000" w:rsidP="0043269A">
      <w:pPr>
        <w:jc w:val="both"/>
        <w:rPr>
          <w:sz w:val="20"/>
          <w:szCs w:val="20"/>
        </w:rPr>
      </w:pPr>
      <w:r w:rsidRPr="00725BBC">
        <w:rPr>
          <w:b/>
          <w:i/>
          <w:sz w:val="20"/>
          <w:szCs w:val="20"/>
        </w:rPr>
        <w:t>Abstract</w:t>
      </w:r>
      <w:r w:rsidRPr="00725BBC">
        <w:rPr>
          <w:b/>
          <w:sz w:val="20"/>
          <w:szCs w:val="20"/>
        </w:rPr>
        <w:t>—</w:t>
      </w:r>
      <w:r w:rsidR="00725BBC" w:rsidRPr="00725BBC">
        <w:rPr>
          <w:sz w:val="20"/>
          <w:szCs w:val="20"/>
        </w:rPr>
        <w:t>This research paper delves into the pivotal role of data-driven approaches in understanding the intricate dynamics of air quality and their implications for environmental sustainability. Utilizing advanced data analytics and machine learning techniques, the study investigates various factors influencing air quality, ranging from anthropogenic activities to meteorological conditions. By analyzing extensive datasets sourced from air quality monitoring stations and satellite observations, the research unveils patterns, trends, and correlations crucial for informed decision-making and policy formulation. Furthermore, the paper explores the potential of real-time data analytics in predicting air quality fluctuations and mitigating environmental hazards. The findings underscore the significance of interdisciplinary collaboration between data scientists, environmental researchers, and policymakers in addressing air pollution challenges and fostering sustainable development. Ultimately, this research contributes to a deeper understanding of air quality dynamics and offers valuable insights for designing effective strategies towards achieving cleaner and healthier environments.</w:t>
      </w:r>
    </w:p>
    <w:p w14:paraId="4A7749C4" w14:textId="14430A1F" w:rsidR="00F65174" w:rsidRDefault="00F65174" w:rsidP="0043269A">
      <w:pPr>
        <w:pStyle w:val="BodyText"/>
        <w:spacing w:before="91"/>
        <w:ind w:right="38" w:firstLine="271"/>
      </w:pPr>
    </w:p>
    <w:p w14:paraId="3BED0EBD" w14:textId="6CA075E8" w:rsidR="00F65174" w:rsidRPr="004E0BF9" w:rsidRDefault="00000000" w:rsidP="0043269A">
      <w:pPr>
        <w:spacing w:before="203"/>
        <w:ind w:left="127" w:right="40" w:firstLine="274"/>
        <w:jc w:val="both"/>
        <w:rPr>
          <w:bCs/>
          <w:i/>
          <w:sz w:val="20"/>
        </w:rPr>
      </w:pPr>
      <w:r>
        <w:rPr>
          <w:b/>
          <w:i/>
          <w:sz w:val="18"/>
        </w:rPr>
        <w:t>Keywords—</w:t>
      </w:r>
      <w:r w:rsidR="004E0BF9" w:rsidRPr="004E0BF9">
        <w:t xml:space="preserve"> </w:t>
      </w:r>
      <w:r w:rsidR="004E0BF9" w:rsidRPr="004E0BF9">
        <w:rPr>
          <w:bCs/>
          <w:i/>
          <w:sz w:val="18"/>
        </w:rPr>
        <w:t>Air quality, environmental sustainability, data analytics, machine learning, time series analysis, ARIMA, Prophet, vector autoregression (VAR), long short-term memory (LSTM), air pollution, forecasting, predictive modeling, atmospheric dynamics, emissions monitoring, climate change mitigation, environmental management, decision support systems.</w:t>
      </w:r>
    </w:p>
    <w:p w14:paraId="105B48F2" w14:textId="77777777" w:rsidR="00F65174" w:rsidRDefault="00F65174" w:rsidP="0043269A">
      <w:pPr>
        <w:pStyle w:val="BodyText"/>
        <w:spacing w:before="26"/>
        <w:ind w:left="0"/>
        <w:rPr>
          <w:i/>
        </w:rPr>
      </w:pPr>
    </w:p>
    <w:p w14:paraId="190A2F0D" w14:textId="77777777" w:rsidR="00F65174" w:rsidRDefault="00000000" w:rsidP="0043269A">
      <w:pPr>
        <w:pStyle w:val="ListParagraph"/>
        <w:numPr>
          <w:ilvl w:val="0"/>
          <w:numId w:val="10"/>
        </w:numPr>
        <w:tabs>
          <w:tab w:val="left" w:pos="2025"/>
        </w:tabs>
        <w:ind w:left="2025" w:hanging="242"/>
        <w:jc w:val="both"/>
        <w:rPr>
          <w:sz w:val="20"/>
        </w:rPr>
      </w:pPr>
      <w:r>
        <w:rPr>
          <w:smallCaps/>
          <w:spacing w:val="-2"/>
          <w:sz w:val="20"/>
        </w:rPr>
        <w:t>Introduction</w:t>
      </w:r>
    </w:p>
    <w:p w14:paraId="7677C96F" w14:textId="14142ADB" w:rsidR="00A47769" w:rsidRPr="00A47769" w:rsidRDefault="00A47769" w:rsidP="0043269A">
      <w:pPr>
        <w:pStyle w:val="ListParagraph"/>
        <w:widowControl/>
        <w:autoSpaceDE/>
        <w:autoSpaceDN/>
        <w:ind w:left="2057" w:firstLine="0"/>
        <w:rPr>
          <w:sz w:val="24"/>
          <w:szCs w:val="24"/>
          <w:lang w:val="en-IN" w:eastAsia="en-IN"/>
        </w:rPr>
      </w:pPr>
    </w:p>
    <w:p w14:paraId="4061F51C" w14:textId="17FC4346" w:rsidR="004E0BF9" w:rsidRPr="00A462DC" w:rsidRDefault="004E0BF9" w:rsidP="0043269A">
      <w:pPr>
        <w:jc w:val="both"/>
        <w:rPr>
          <w:sz w:val="20"/>
          <w:szCs w:val="20"/>
        </w:rPr>
      </w:pPr>
      <w:bookmarkStart w:id="0" w:name="_Hlk165614150"/>
      <w:r w:rsidRPr="00A462DC">
        <w:rPr>
          <w:sz w:val="20"/>
          <w:szCs w:val="20"/>
        </w:rPr>
        <w:t xml:space="preserve">Air quality is a critical component of environmental sustainability, directly impacting human health, ecosystems, and socio-economic well-being. With the rise of industrialization, urbanization, and globalization, the issue of air pollution has become a pressing concern worldwide. Despite concerted efforts to curb emissions and improve air quality, the complex and dynamic nature of atmospheric dynamics necessitates innovative approaches for comprehensive understanding and effective management. In this context, data-driven methodologies have emerged as indispensable tools for unraveling the intricate interplay of factors influencing air quality dynamics. This research paper seeks to elucidate the pivotal role of data-driven insights in elucidating air quality dynamics and advancing environmental sustainability goals. By harnessing the power of big data analytics, machine learning algorithms, and remote sensing technologies, researchers can delve deeper into the multifaceted nature of air pollution phenomena. The integration of these cutting-edge technologies allows for the analysis of vast and diverse datasets encompassing atmospheric composition, meteorological parameters, land use patterns, industrial emissions, </w:t>
      </w:r>
      <w:r w:rsidRPr="00A462DC">
        <w:rPr>
          <w:sz w:val="20"/>
          <w:szCs w:val="20"/>
        </w:rPr>
        <w:t>transportation data, and human activities. The significance of this research lies in its potential to inform evidence-based policy-making and facilitate proactive measures for mitigating air pollution risks. By leveraging real-time data analytics, stakeholders can identify pollution hotspots, anticipate pollution episodes, and implement targeted interventions to safeguard public health and ecological integrity.</w:t>
      </w:r>
    </w:p>
    <w:bookmarkEnd w:id="0"/>
    <w:p w14:paraId="6C779624" w14:textId="23BC8FCC" w:rsidR="004E0BF9" w:rsidRPr="00A47769" w:rsidRDefault="004E0BF9" w:rsidP="0043269A">
      <w:pPr>
        <w:widowControl/>
        <w:autoSpaceDE/>
        <w:autoSpaceDN/>
        <w:jc w:val="both"/>
        <w:rPr>
          <w:color w:val="000000"/>
          <w:sz w:val="20"/>
          <w:szCs w:val="20"/>
          <w:lang w:val="en-IN" w:eastAsia="en-IN"/>
        </w:rPr>
      </w:pPr>
    </w:p>
    <w:p w14:paraId="579F1F7F" w14:textId="78286C94" w:rsidR="00820DA1" w:rsidRPr="00B4724A" w:rsidRDefault="00820DA1" w:rsidP="0043269A">
      <w:pPr>
        <w:pStyle w:val="ListParagraph"/>
        <w:numPr>
          <w:ilvl w:val="0"/>
          <w:numId w:val="10"/>
        </w:numPr>
        <w:tabs>
          <w:tab w:val="left" w:pos="1961"/>
        </w:tabs>
        <w:spacing w:before="161"/>
        <w:ind w:left="1961" w:hanging="305"/>
        <w:jc w:val="both"/>
        <w:rPr>
          <w:sz w:val="20"/>
        </w:rPr>
      </w:pPr>
      <w:r>
        <w:rPr>
          <w:spacing w:val="-2"/>
          <w:sz w:val="20"/>
        </w:rPr>
        <w:t>LITERATURE REVIEW</w:t>
      </w:r>
    </w:p>
    <w:p w14:paraId="0A8E9080" w14:textId="77777777" w:rsidR="002B34CB" w:rsidRDefault="002B34CB" w:rsidP="0043269A">
      <w:pPr>
        <w:jc w:val="both"/>
        <w:rPr>
          <w:color w:val="000000"/>
          <w:sz w:val="20"/>
          <w:szCs w:val="20"/>
          <w:lang w:val="en-IN" w:eastAsia="en-IN"/>
        </w:rPr>
      </w:pPr>
    </w:p>
    <w:p w14:paraId="10A069F4" w14:textId="750D7AB9" w:rsidR="00C81AC0" w:rsidRPr="00427A9F" w:rsidRDefault="00820DA1" w:rsidP="0043269A">
      <w:pPr>
        <w:jc w:val="both"/>
        <w:rPr>
          <w:sz w:val="20"/>
          <w:szCs w:val="20"/>
        </w:rPr>
      </w:pPr>
      <w:r w:rsidRPr="00820DA1">
        <w:rPr>
          <w:color w:val="000000"/>
          <w:sz w:val="20"/>
          <w:szCs w:val="20"/>
          <w:lang w:val="en-IN" w:eastAsia="en-IN"/>
        </w:rPr>
        <w:t xml:space="preserve"> </w:t>
      </w:r>
      <w:r w:rsidR="002B34CB" w:rsidRPr="00427A9F">
        <w:rPr>
          <w:sz w:val="20"/>
          <w:szCs w:val="20"/>
        </w:rPr>
        <w:t>Ailish M. Graham's 2024 study, "Quantifying effects of long-range transport of NO2 over Delhi using back trajectories and satellite data," investigates the long-range transport of nitrogen dioxide (NO2) over Delhi, India. The study employs back trajectory analysis and satellite data to understand the dispersion patterns of air pollution, particularly NO2. By combining ground-based measurements with satellite observations and atmospheric modeling techniques, the research quantifies the contribution of long-range transport to NO2 levels in Delhi. This approach provides valuable insights into the regional and global dynamics of air pollution, enabling better understanding of the factors influencing air quality in urban areas.</w:t>
      </w:r>
    </w:p>
    <w:p w14:paraId="0E6C5933" w14:textId="77777777" w:rsidR="002B34CB" w:rsidRPr="00427A9F" w:rsidRDefault="002B34CB" w:rsidP="0043269A">
      <w:pPr>
        <w:jc w:val="both"/>
        <w:rPr>
          <w:sz w:val="20"/>
          <w:szCs w:val="20"/>
        </w:rPr>
      </w:pPr>
      <w:r w:rsidRPr="00427A9F">
        <w:rPr>
          <w:sz w:val="20"/>
          <w:szCs w:val="20"/>
        </w:rPr>
        <w:t xml:space="preserve"> Aneesh Mathew's 2023 research, titled "Air quality analysis and PM2.5 modelling using machine learning techniques: A study of Hyderabad city in India," highlights the pivotal role of machine learning techniques in enhancing air quality predictions. Focusing on Hyderabad, India, the study employs machine learning algorithms to model and forecast concentrations of PM2.5 (particulate matter with a diameter of 2.5 micrometers or less). By leveraging historical data on air quality parameters, meteorological conditions, and other relevant factors, the research demonstrates the superior predictive capabilities of machine learning techniques over traditional statistical methods. This study underscores the transformative potential of technology in environmental monitoring and decision-making.</w:t>
      </w:r>
    </w:p>
    <w:p w14:paraId="6DA6C534" w14:textId="77777777" w:rsidR="002B34CB" w:rsidRPr="00427A9F" w:rsidRDefault="002B34CB" w:rsidP="0043269A">
      <w:pPr>
        <w:jc w:val="both"/>
        <w:rPr>
          <w:sz w:val="20"/>
          <w:szCs w:val="20"/>
        </w:rPr>
      </w:pPr>
      <w:r w:rsidRPr="00427A9F">
        <w:rPr>
          <w:sz w:val="20"/>
          <w:szCs w:val="20"/>
        </w:rPr>
        <w:t>N. Srinivasa Gupta's 2023 study, "Prediction of Air Quality Index Using Machine Learning Techniques: A Comparative Analysis," conducts a comprehensive comparative analysis of various machine learning techniques for predicting air quality indices. The research evaluates the performance of multiple algorithms, such as decision trees, random forests, support vector machines, and neural networks, in forecasting air quality indices. By employing cross-validation and rigorous evaluation metrics, the study identifies the most effective machine learning techniques for accurate air quality predictions. This comparative analysis reinforces the shift towards data-driven approaches in environmental science and provides guidance for researchers and practitioners in selecting appropriate methods.</w:t>
      </w:r>
    </w:p>
    <w:p w14:paraId="31E84744" w14:textId="77777777" w:rsidR="002B34CB" w:rsidRPr="00427A9F" w:rsidRDefault="002B34CB" w:rsidP="0043269A">
      <w:pPr>
        <w:jc w:val="both"/>
        <w:rPr>
          <w:sz w:val="20"/>
          <w:szCs w:val="20"/>
        </w:rPr>
      </w:pPr>
      <w:r w:rsidRPr="00427A9F">
        <w:rPr>
          <w:sz w:val="20"/>
          <w:szCs w:val="20"/>
        </w:rPr>
        <w:t xml:space="preserve">Rani Hemamalini Ranganathan's 2023 study, titled "Air Quality Monitoring and Analysis for Sustainable Development of Solid Waste Dump Yards Using Smart Drones and Geospatial Technology," explores the innovative application of smart </w:t>
      </w:r>
      <w:r w:rsidRPr="00427A9F">
        <w:rPr>
          <w:sz w:val="20"/>
          <w:szCs w:val="20"/>
        </w:rPr>
        <w:lastRenderedPageBreak/>
        <w:t>drones and geospatial technology for air quality monitoring in solid waste dump yards. The research recognizes the significant environmental impact of solid waste management and the need for effective monitoring strategies. By integrating unmanned aerial vehicles (UAVs) equipped with sensors and geospatial technologies, the study demonstrates the feasibility and advantages of real-time air quality monitoring in these challenging environments. This approach not only enhances environmental management practices but also contributes to sustainable development goals.</w:t>
      </w:r>
    </w:p>
    <w:p w14:paraId="3702BA6B" w14:textId="77777777" w:rsidR="002B34CB" w:rsidRPr="00427A9F" w:rsidRDefault="002B34CB" w:rsidP="0043269A">
      <w:pPr>
        <w:jc w:val="both"/>
        <w:rPr>
          <w:sz w:val="20"/>
          <w:szCs w:val="20"/>
        </w:rPr>
      </w:pPr>
      <w:r w:rsidRPr="00427A9F">
        <w:rPr>
          <w:sz w:val="20"/>
          <w:szCs w:val="20"/>
        </w:rPr>
        <w:t xml:space="preserve">Shahzad Gani's 2022 paper, "Systematizing the approach to air quality measurement and analysis in </w:t>
      </w:r>
      <w:proofErr w:type="gramStart"/>
      <w:r w:rsidRPr="00427A9F">
        <w:rPr>
          <w:sz w:val="20"/>
          <w:szCs w:val="20"/>
        </w:rPr>
        <w:t>low and middle income</w:t>
      </w:r>
      <w:proofErr w:type="gramEnd"/>
      <w:r w:rsidRPr="00427A9F">
        <w:rPr>
          <w:sz w:val="20"/>
          <w:szCs w:val="20"/>
        </w:rPr>
        <w:t xml:space="preserve"> countries," addresses the challenges and opportunities in air quality research in low and middle-income countries. The study recognizes the need for standardized methods and technologies in air quality measurement, particularly in resource-constrained settings. By proposing a systematic approach that leverages cost-effective and scalable technologies, the research aims to facilitate consistent data collection, analysis, and interpretation. This work highlights the importance of addressing disparities in environmental monitoring and ensuring equitable access to air quality data for effective policymaking and interventions.</w:t>
      </w:r>
    </w:p>
    <w:p w14:paraId="7EB675FB" w14:textId="77777777" w:rsidR="002B34CB" w:rsidRPr="00427A9F" w:rsidRDefault="002B34CB" w:rsidP="0043269A">
      <w:pPr>
        <w:jc w:val="both"/>
        <w:rPr>
          <w:sz w:val="20"/>
          <w:szCs w:val="20"/>
        </w:rPr>
      </w:pPr>
      <w:r w:rsidRPr="00427A9F">
        <w:rPr>
          <w:sz w:val="20"/>
          <w:szCs w:val="20"/>
        </w:rPr>
        <w:t>Ranjeet S. Sokhi's 2022 review paper, "Advances in air quality research – current and emerging challenges," provides a comprehensive overview of the field of air quality research. The review discusses current challenges, such as the complexity of atmospheric processes, the impact of climate change on air quality, and the need for improved modeling and monitoring techniques. Additionally, it explores emerging issues, including the role of new technologies, the integration of air quality and climate change research, and the importance of interdisciplinary collaborations. By identifying future research directions and highlighting the latest advancements, this review serves as a valuable resource for researchers, policymakers, and stakeholders working towards improving air quality and environmental sustainability.</w:t>
      </w:r>
    </w:p>
    <w:p w14:paraId="38D91997" w14:textId="77777777" w:rsidR="002B34CB" w:rsidRPr="00427A9F" w:rsidRDefault="002B34CB" w:rsidP="0043269A">
      <w:pPr>
        <w:jc w:val="both"/>
        <w:rPr>
          <w:sz w:val="20"/>
          <w:szCs w:val="20"/>
        </w:rPr>
      </w:pPr>
      <w:r w:rsidRPr="00427A9F">
        <w:rPr>
          <w:sz w:val="20"/>
          <w:szCs w:val="20"/>
        </w:rPr>
        <w:t>Pranav Shriram and Srinivas Malladi's 2021 study, "A Study and Analysis of Air Quality Index and Related Health Impact on Public Health," investigates the relationship between the Air Quality Index (AQI) and public health outcomes. The research analyzes the impact of various air pollutants, including particulate matter, nitrogen oxides, and ozone, on respiratory and cardiovascular health. By employing statistical techniques and epidemiological data, the study quantifies the health burden associated with poor air quality and highlights the critical role of air quality monitoring in safeguarding public health. This research emphasizes the need for continuous monitoring, intervention strategies, and collaborative efforts between environmental and public health sectors. Akash Biswal and Vikas Singh's 2021 paper, "COVID-19 lockdown-induced changes in NO2 levels across India observed by multi-satellite and surface observations," investigates the effects of the COVID-19 lockdown on nitrogen dioxide (NO2) levels across India. By analyzing satellite observations and ground-based measurements, the study observed significant reductions in NO2 levels during the lockdown period, particularly in urban areas. This research demonstrates the correlation between human activities, such as transportation and industrial operations, and air pollution levels. Additionally, it highlights the potential for policy interventions to positively impact environmental health, providing valuable insights for future decision-making and crisis management.</w:t>
      </w:r>
    </w:p>
    <w:p w14:paraId="7BB795FC" w14:textId="77777777" w:rsidR="002B34CB" w:rsidRPr="00427A9F" w:rsidRDefault="002B34CB" w:rsidP="0043269A">
      <w:pPr>
        <w:jc w:val="both"/>
        <w:rPr>
          <w:sz w:val="20"/>
          <w:szCs w:val="20"/>
        </w:rPr>
      </w:pPr>
      <w:r w:rsidRPr="00427A9F">
        <w:rPr>
          <w:sz w:val="20"/>
          <w:szCs w:val="20"/>
        </w:rPr>
        <w:t xml:space="preserve">Gabriele Curci's 2019 study, "Modelling black carbon absorption of solar radiation: combining external and internal mixing assumptions," focuses on improving the modeling of black carbon absorption of solar radiation. Black carbon, a component of particulate matter, plays a significant role in the Earth's climate system by absorbing solar radiation and contributing to warming. The research combines external and internal mixing assumptions, accounting for the varying states </w:t>
      </w:r>
      <w:r w:rsidRPr="00427A9F">
        <w:rPr>
          <w:sz w:val="20"/>
          <w:szCs w:val="20"/>
        </w:rPr>
        <w:t>of black carbon particles in the atmosphere. By incorporating these assumptions into climate models, the study aims to enhance the accuracy of predictions related to the radiative forcing and climate impacts of black carbon. This research contributes to a more nuanced understanding of the complex interactions between air quality and climate change.</w:t>
      </w:r>
    </w:p>
    <w:p w14:paraId="4D01E679" w14:textId="77777777" w:rsidR="002B34CB" w:rsidRPr="00427A9F" w:rsidRDefault="002B34CB" w:rsidP="0043269A">
      <w:pPr>
        <w:jc w:val="both"/>
        <w:rPr>
          <w:sz w:val="20"/>
          <w:szCs w:val="20"/>
        </w:rPr>
      </w:pPr>
      <w:r w:rsidRPr="00427A9F">
        <w:rPr>
          <w:sz w:val="20"/>
          <w:szCs w:val="20"/>
        </w:rPr>
        <w:t>Ulas Im's 2018 study, "Influence of anthropogenic emissions and boundary conditions on multi-model simulations of major air pollutants over Europe and North America in the framework of AQMEII3," investigates the influence of anthropogenic emissions and boundary conditions on multi-model simulations of air pollutants over Europe and North America. The study employs multiple air quality models to simulate the concentrations of major air pollutants, such as ozone, nitrogen oxides, and particulate matter. By analyzing the impact of anthropogenic emissions and varying boundary conditions, the research highlights the complexity of air pollution modeling and underscores the necessity for comprehensive data and modeling approaches. This work emphasizes the importance of collaboration and knowledge sharing among researchers to enhance the accuracy and reliability of air quality predictions at regional and global scales</w:t>
      </w:r>
    </w:p>
    <w:p w14:paraId="5C7F8CB9" w14:textId="2129F72E" w:rsidR="002B34CB" w:rsidRDefault="002B34CB" w:rsidP="0043269A">
      <w:pPr>
        <w:jc w:val="both"/>
        <w:rPr>
          <w:sz w:val="20"/>
          <w:szCs w:val="20"/>
        </w:rPr>
      </w:pPr>
      <w:r w:rsidRPr="00427A9F">
        <w:rPr>
          <w:sz w:val="20"/>
          <w:szCs w:val="20"/>
        </w:rPr>
        <w:t>This literature survey provides an in-depth understanding of the various studies conducted in the field of air quality research, data-driven approaches, and environmental sustainability. It highlights the diverse methodologies employed, the specific areas of focus, and the significant contributions made by these studies to advance our understanding of air quality dynamics and promote effective strategies for mitigating environmental challenges.</w:t>
      </w:r>
    </w:p>
    <w:p w14:paraId="2C5A38B5" w14:textId="77777777" w:rsidR="00C81AC0" w:rsidRPr="00C81AC0" w:rsidRDefault="00C81AC0" w:rsidP="0043269A">
      <w:pPr>
        <w:jc w:val="both"/>
        <w:rPr>
          <w:sz w:val="20"/>
          <w:szCs w:val="20"/>
        </w:rPr>
      </w:pPr>
    </w:p>
    <w:p w14:paraId="4E062B2E" w14:textId="2786DB19" w:rsidR="003C47CD" w:rsidRDefault="003C47CD" w:rsidP="0043269A">
      <w:pPr>
        <w:pStyle w:val="BodyText"/>
        <w:numPr>
          <w:ilvl w:val="0"/>
          <w:numId w:val="10"/>
        </w:numPr>
        <w:spacing w:before="58"/>
        <w:ind w:right="104"/>
        <w:jc w:val="both"/>
      </w:pPr>
      <w:r>
        <w:t>Methodology</w:t>
      </w:r>
    </w:p>
    <w:p w14:paraId="6C0BBBB8" w14:textId="2995A1A6" w:rsidR="00C81AC0" w:rsidRPr="00C81AC0" w:rsidRDefault="00C81AC0" w:rsidP="0043269A">
      <w:pPr>
        <w:pStyle w:val="whitespace-pre-wrap"/>
        <w:jc w:val="both"/>
        <w:rPr>
          <w:sz w:val="20"/>
          <w:szCs w:val="20"/>
        </w:rPr>
      </w:pPr>
      <w:r w:rsidRPr="00C81AC0">
        <w:rPr>
          <w:sz w:val="20"/>
          <w:szCs w:val="20"/>
        </w:rPr>
        <w:t xml:space="preserve">The methodology employed in this research paperencompasses four distinct approaches for analyzing air quality dynamics and forecasting future levels: ARIMA (AutoRegressive Integrated Moving Average), Prophet, VAR (Vector Autoregression), and LSTM (Long Short-Term Memory) networks. </w:t>
      </w:r>
      <w:r>
        <w:rPr>
          <w:sz w:val="20"/>
          <w:szCs w:val="20"/>
        </w:rPr>
        <w:t>In th</w:t>
      </w:r>
      <w:r w:rsidR="000777D2">
        <w:rPr>
          <w:sz w:val="20"/>
          <w:szCs w:val="20"/>
        </w:rPr>
        <w:t>is</w:t>
      </w:r>
      <w:r>
        <w:rPr>
          <w:sz w:val="20"/>
          <w:szCs w:val="20"/>
        </w:rPr>
        <w:t xml:space="preserve"> research</w:t>
      </w:r>
      <w:r w:rsidRPr="00C81AC0">
        <w:rPr>
          <w:sz w:val="20"/>
          <w:szCs w:val="20"/>
        </w:rPr>
        <w:t xml:space="preserve"> methodologies offer complementary strengths in capturing temporal patterns, seasonal effects, dynamic relationships, and sequence prediction in air quality data, thereby providing a comprehensive understanding of environmental dynamics crucial for sustainability initiatives.</w:t>
      </w:r>
    </w:p>
    <w:p w14:paraId="192D7D1A" w14:textId="77777777" w:rsidR="00C81AC0" w:rsidRPr="00C81AC0" w:rsidRDefault="00C81AC0" w:rsidP="0043269A">
      <w:pPr>
        <w:pStyle w:val="Heading3"/>
        <w:jc w:val="both"/>
        <w:rPr>
          <w:sz w:val="20"/>
          <w:szCs w:val="20"/>
        </w:rPr>
      </w:pPr>
      <w:r w:rsidRPr="00C81AC0">
        <w:rPr>
          <w:sz w:val="20"/>
          <w:szCs w:val="20"/>
        </w:rPr>
        <w:t>A. ARIMA</w:t>
      </w:r>
    </w:p>
    <w:p w14:paraId="012520A5" w14:textId="77777777" w:rsidR="00C81AC0" w:rsidRPr="00C81AC0" w:rsidRDefault="00C81AC0" w:rsidP="0043269A">
      <w:pPr>
        <w:pStyle w:val="whitespace-pre-wrap"/>
        <w:jc w:val="both"/>
        <w:rPr>
          <w:sz w:val="20"/>
          <w:szCs w:val="20"/>
        </w:rPr>
      </w:pPr>
      <w:r w:rsidRPr="00C81AC0">
        <w:rPr>
          <w:sz w:val="20"/>
          <w:szCs w:val="20"/>
        </w:rPr>
        <w:t>The ARIMA model is widely recognized for its ability to capture linear relationships and temporal dependencies in time series data, serving as a foundational tool for forecasting air quality parameters. The implementation of the ARIMA model in this study involves several key steps:</w:t>
      </w:r>
    </w:p>
    <w:p w14:paraId="08621763" w14:textId="77777777" w:rsidR="00C81AC0" w:rsidRPr="00C81AC0" w:rsidRDefault="00C81AC0" w:rsidP="0043269A">
      <w:pPr>
        <w:pStyle w:val="whitespace-normal"/>
        <w:numPr>
          <w:ilvl w:val="0"/>
          <w:numId w:val="31"/>
        </w:numPr>
        <w:jc w:val="both"/>
        <w:rPr>
          <w:sz w:val="20"/>
          <w:szCs w:val="20"/>
        </w:rPr>
      </w:pPr>
      <w:r w:rsidRPr="00C81AC0">
        <w:rPr>
          <w:rStyle w:val="Strong"/>
          <w:sz w:val="20"/>
          <w:szCs w:val="20"/>
        </w:rPr>
        <w:t>Data Preprocessing</w:t>
      </w:r>
      <w:r w:rsidRPr="00C81AC0">
        <w:rPr>
          <w:sz w:val="20"/>
          <w:szCs w:val="20"/>
        </w:rPr>
        <w:t>: The air quality dataset is preprocessed to handle missing values, outliers, and ensure stationarity. Techniques such as mean imputation, interpolation, and differencing are employed as necessary.</w:t>
      </w:r>
    </w:p>
    <w:p w14:paraId="3627E258" w14:textId="77777777" w:rsidR="00C81AC0" w:rsidRPr="00C81AC0" w:rsidRDefault="00C81AC0" w:rsidP="0043269A">
      <w:pPr>
        <w:pStyle w:val="whitespace-normal"/>
        <w:numPr>
          <w:ilvl w:val="0"/>
          <w:numId w:val="31"/>
        </w:numPr>
        <w:jc w:val="both"/>
        <w:rPr>
          <w:sz w:val="20"/>
          <w:szCs w:val="20"/>
        </w:rPr>
      </w:pPr>
      <w:r w:rsidRPr="00C81AC0">
        <w:rPr>
          <w:rStyle w:val="Strong"/>
          <w:sz w:val="20"/>
          <w:szCs w:val="20"/>
        </w:rPr>
        <w:t>Model Selection</w:t>
      </w:r>
      <w:r w:rsidRPr="00C81AC0">
        <w:rPr>
          <w:sz w:val="20"/>
          <w:szCs w:val="20"/>
        </w:rPr>
        <w:t xml:space="preserve">: The appropriate orders of the ARIMA model, denoted as </w:t>
      </w:r>
      <w:proofErr w:type="gramStart"/>
      <w:r w:rsidRPr="00C81AC0">
        <w:rPr>
          <w:sz w:val="20"/>
          <w:szCs w:val="20"/>
        </w:rPr>
        <w:t>ARIMA(</w:t>
      </w:r>
      <w:proofErr w:type="gramEnd"/>
      <w:r w:rsidRPr="00C81AC0">
        <w:rPr>
          <w:sz w:val="20"/>
          <w:szCs w:val="20"/>
        </w:rPr>
        <w:t>p, d, q), are determined through iterative experimentation and diagnostics. The autocorrelation and partial autocorrelation functions are analyzed to identify the optimal values of p (autoregressive order), d (degree of differencing), and q (moving average order).</w:t>
      </w:r>
    </w:p>
    <w:p w14:paraId="332323D9" w14:textId="77777777" w:rsidR="00C81AC0" w:rsidRPr="00C81AC0" w:rsidRDefault="00C81AC0" w:rsidP="0043269A">
      <w:pPr>
        <w:pStyle w:val="whitespace-normal"/>
        <w:numPr>
          <w:ilvl w:val="0"/>
          <w:numId w:val="31"/>
        </w:numPr>
        <w:jc w:val="both"/>
        <w:rPr>
          <w:sz w:val="20"/>
          <w:szCs w:val="20"/>
        </w:rPr>
      </w:pPr>
      <w:r w:rsidRPr="00C81AC0">
        <w:rPr>
          <w:rStyle w:val="Strong"/>
          <w:sz w:val="20"/>
          <w:szCs w:val="20"/>
        </w:rPr>
        <w:t>Model Fitting</w:t>
      </w:r>
      <w:r w:rsidRPr="00C81AC0">
        <w:rPr>
          <w:sz w:val="20"/>
          <w:szCs w:val="20"/>
        </w:rPr>
        <w:t>: The ARIMA model is fitted to the preprocessed air quality data, estimating the model parameters using maximum likelihood estimation or other suitable techniques.</w:t>
      </w:r>
    </w:p>
    <w:p w14:paraId="6622FDC4" w14:textId="77777777" w:rsidR="00C81AC0" w:rsidRPr="00C81AC0" w:rsidRDefault="00C81AC0" w:rsidP="0043269A">
      <w:pPr>
        <w:pStyle w:val="whitespace-normal"/>
        <w:numPr>
          <w:ilvl w:val="0"/>
          <w:numId w:val="31"/>
        </w:numPr>
        <w:jc w:val="both"/>
        <w:rPr>
          <w:sz w:val="20"/>
          <w:szCs w:val="20"/>
        </w:rPr>
      </w:pPr>
      <w:r w:rsidRPr="00C81AC0">
        <w:rPr>
          <w:rStyle w:val="Strong"/>
          <w:sz w:val="20"/>
          <w:szCs w:val="20"/>
        </w:rPr>
        <w:lastRenderedPageBreak/>
        <w:t>Model Validation</w:t>
      </w:r>
      <w:r w:rsidRPr="00C81AC0">
        <w:rPr>
          <w:sz w:val="20"/>
          <w:szCs w:val="20"/>
        </w:rPr>
        <w:t>: The performance of the fitted ARIMA model is evaluated using techniques such as train-test splits or cross-validation. Metrics like Mean Absolute Error (MAE), Root Mean Squared Error (RMSE), and Mean Absolute Percentage Error (MAPE) are employed to assess the model's accuracy.</w:t>
      </w:r>
    </w:p>
    <w:p w14:paraId="676E4269" w14:textId="77777777" w:rsidR="00C81AC0" w:rsidRDefault="00C81AC0" w:rsidP="0043269A">
      <w:pPr>
        <w:pStyle w:val="whitespace-normal"/>
        <w:numPr>
          <w:ilvl w:val="0"/>
          <w:numId w:val="31"/>
        </w:numPr>
        <w:jc w:val="both"/>
        <w:rPr>
          <w:sz w:val="20"/>
          <w:szCs w:val="20"/>
        </w:rPr>
      </w:pPr>
      <w:r w:rsidRPr="00C81AC0">
        <w:rPr>
          <w:rStyle w:val="Strong"/>
          <w:sz w:val="20"/>
          <w:szCs w:val="20"/>
        </w:rPr>
        <w:t>Forecasting</w:t>
      </w:r>
      <w:r w:rsidRPr="00C81AC0">
        <w:rPr>
          <w:sz w:val="20"/>
          <w:szCs w:val="20"/>
        </w:rPr>
        <w:t>: Once the ARIMA model is validated, it is used to generate forecasts for future air quality levels, providing valuable insights for decision-making and environmental management efforts.</w:t>
      </w:r>
    </w:p>
    <w:p w14:paraId="3CB228D9" w14:textId="4930BB74" w:rsidR="000777D2" w:rsidRPr="00C81AC0" w:rsidRDefault="000777D2" w:rsidP="0043269A">
      <w:pPr>
        <w:pStyle w:val="whitespace-normal"/>
        <w:ind w:left="720"/>
        <w:jc w:val="both"/>
        <w:rPr>
          <w:sz w:val="20"/>
          <w:szCs w:val="20"/>
        </w:rPr>
      </w:pPr>
      <w:r>
        <w:rPr>
          <w:rStyle w:val="mord"/>
          <w:rFonts w:ascii="KaTeX_Math" w:hAnsi="KaTeX_Math"/>
          <w:i/>
          <w:iCs/>
        </w:rPr>
        <w:t>X</w:t>
      </w:r>
      <w:r>
        <w:rPr>
          <w:rStyle w:val="mord"/>
          <w:rFonts w:ascii="KaTeX_Math" w:hAnsi="KaTeX_Math"/>
          <w:i/>
          <w:iCs/>
          <w:sz w:val="17"/>
          <w:szCs w:val="17"/>
        </w:rPr>
        <w:t>t</w:t>
      </w:r>
      <w:r>
        <w:rPr>
          <w:rStyle w:val="vlist-s"/>
          <w:sz w:val="2"/>
          <w:szCs w:val="2"/>
        </w:rPr>
        <w:t>​</w:t>
      </w:r>
      <w:r>
        <w:rPr>
          <w:rStyle w:val="mrel"/>
        </w:rPr>
        <w:t>=</w:t>
      </w:r>
      <w:r>
        <w:rPr>
          <w:rStyle w:val="mord"/>
          <w:rFonts w:ascii="KaTeX_Math" w:hAnsi="KaTeX_Math"/>
          <w:i/>
          <w:iCs/>
        </w:rPr>
        <w:t>c</w:t>
      </w:r>
      <w:r>
        <w:rPr>
          <w:rStyle w:val="mbin"/>
        </w:rPr>
        <w:t>+</w:t>
      </w:r>
      <w:r>
        <w:rPr>
          <w:rStyle w:val="mord"/>
          <w:rFonts w:ascii="KaTeX_Math" w:hAnsi="KaTeX_Math"/>
          <w:i/>
          <w:iCs/>
        </w:rPr>
        <w:t>ϕ</w:t>
      </w:r>
      <w:r>
        <w:rPr>
          <w:rStyle w:val="mord"/>
          <w:sz w:val="17"/>
          <w:szCs w:val="17"/>
        </w:rPr>
        <w:t>1</w:t>
      </w:r>
      <w:r>
        <w:rPr>
          <w:rStyle w:val="vlist-s"/>
          <w:sz w:val="2"/>
          <w:szCs w:val="2"/>
        </w:rPr>
        <w:t>​</w:t>
      </w:r>
      <w:r>
        <w:rPr>
          <w:rStyle w:val="mord"/>
          <w:rFonts w:ascii="KaTeX_Math" w:hAnsi="KaTeX_Math"/>
          <w:i/>
          <w:iCs/>
        </w:rPr>
        <w:t>X</w:t>
      </w:r>
      <w:r>
        <w:rPr>
          <w:rStyle w:val="mord"/>
          <w:rFonts w:ascii="KaTeX_Math" w:hAnsi="KaTeX_Math"/>
          <w:i/>
          <w:iCs/>
          <w:sz w:val="17"/>
          <w:szCs w:val="17"/>
        </w:rPr>
        <w:t>t</w:t>
      </w:r>
      <w:r>
        <w:rPr>
          <w:rStyle w:val="mbin"/>
          <w:sz w:val="17"/>
          <w:szCs w:val="17"/>
        </w:rPr>
        <w:t>−</w:t>
      </w:r>
      <w:r>
        <w:rPr>
          <w:rStyle w:val="mord"/>
          <w:sz w:val="17"/>
          <w:szCs w:val="17"/>
        </w:rPr>
        <w:t>1</w:t>
      </w:r>
      <w:r>
        <w:rPr>
          <w:rStyle w:val="vlist-s"/>
          <w:sz w:val="2"/>
          <w:szCs w:val="2"/>
        </w:rPr>
        <w:t>​</w:t>
      </w:r>
      <w:r>
        <w:rPr>
          <w:rStyle w:val="mbin"/>
        </w:rPr>
        <w:t>+</w:t>
      </w:r>
      <w:r>
        <w:rPr>
          <w:rStyle w:val="mord"/>
          <w:rFonts w:ascii="KaTeX_Math" w:hAnsi="KaTeX_Math"/>
          <w:i/>
          <w:iCs/>
        </w:rPr>
        <w:t>ϕ</w:t>
      </w:r>
      <w:r>
        <w:rPr>
          <w:rStyle w:val="mord"/>
          <w:sz w:val="17"/>
          <w:szCs w:val="17"/>
        </w:rPr>
        <w:t>2</w:t>
      </w:r>
      <w:r>
        <w:rPr>
          <w:rStyle w:val="vlist-s"/>
          <w:sz w:val="2"/>
          <w:szCs w:val="2"/>
        </w:rPr>
        <w:t>​</w:t>
      </w:r>
      <w:r>
        <w:rPr>
          <w:rStyle w:val="mord"/>
          <w:rFonts w:ascii="KaTeX_Math" w:hAnsi="KaTeX_Math"/>
          <w:i/>
          <w:iCs/>
        </w:rPr>
        <w:t>X</w:t>
      </w:r>
      <w:r>
        <w:rPr>
          <w:rStyle w:val="mord"/>
          <w:rFonts w:ascii="KaTeX_Math" w:hAnsi="KaTeX_Math"/>
          <w:i/>
          <w:iCs/>
          <w:sz w:val="17"/>
          <w:szCs w:val="17"/>
        </w:rPr>
        <w:t>t</w:t>
      </w:r>
      <w:r>
        <w:rPr>
          <w:rStyle w:val="mbin"/>
          <w:sz w:val="17"/>
          <w:szCs w:val="17"/>
        </w:rPr>
        <w:t>−</w:t>
      </w:r>
      <w:r>
        <w:rPr>
          <w:rStyle w:val="mord"/>
          <w:sz w:val="17"/>
          <w:szCs w:val="17"/>
        </w:rPr>
        <w:t>2</w:t>
      </w:r>
      <w:r>
        <w:rPr>
          <w:rStyle w:val="vlist-s"/>
          <w:sz w:val="2"/>
          <w:szCs w:val="2"/>
        </w:rPr>
        <w:t>​</w:t>
      </w:r>
      <w:r>
        <w:rPr>
          <w:rStyle w:val="mbin"/>
        </w:rPr>
        <w:t>+</w:t>
      </w:r>
      <w:r>
        <w:rPr>
          <w:rStyle w:val="minner"/>
          <w:rFonts w:ascii="Cambria Math" w:hAnsi="Cambria Math" w:cs="Cambria Math"/>
        </w:rPr>
        <w:t>⋯</w:t>
      </w:r>
      <w:r>
        <w:rPr>
          <w:rStyle w:val="mbin"/>
        </w:rPr>
        <w:t>+</w:t>
      </w:r>
      <w:r>
        <w:rPr>
          <w:rStyle w:val="mord"/>
          <w:rFonts w:ascii="KaTeX_Math" w:hAnsi="KaTeX_Math"/>
          <w:i/>
          <w:iCs/>
        </w:rPr>
        <w:t>ϕ</w:t>
      </w:r>
      <w:r>
        <w:rPr>
          <w:rStyle w:val="mord"/>
          <w:rFonts w:ascii="KaTeX_Math" w:hAnsi="KaTeX_Math"/>
          <w:i/>
          <w:iCs/>
          <w:sz w:val="17"/>
          <w:szCs w:val="17"/>
        </w:rPr>
        <w:t>p</w:t>
      </w:r>
      <w:r>
        <w:rPr>
          <w:rStyle w:val="vlist-s"/>
          <w:sz w:val="2"/>
          <w:szCs w:val="2"/>
        </w:rPr>
        <w:t>​</w:t>
      </w:r>
      <w:r>
        <w:rPr>
          <w:rStyle w:val="mord"/>
          <w:rFonts w:ascii="KaTeX_Math" w:hAnsi="KaTeX_Math"/>
          <w:i/>
          <w:iCs/>
        </w:rPr>
        <w:t>X</w:t>
      </w:r>
      <w:r>
        <w:rPr>
          <w:rStyle w:val="mord"/>
          <w:rFonts w:ascii="KaTeX_Math" w:hAnsi="KaTeX_Math"/>
          <w:i/>
          <w:iCs/>
          <w:sz w:val="17"/>
          <w:szCs w:val="17"/>
        </w:rPr>
        <w:t>t</w:t>
      </w:r>
      <w:r>
        <w:rPr>
          <w:rStyle w:val="mbin"/>
          <w:sz w:val="17"/>
          <w:szCs w:val="17"/>
        </w:rPr>
        <w:t>−</w:t>
      </w:r>
      <w:r>
        <w:rPr>
          <w:rStyle w:val="mord"/>
          <w:rFonts w:ascii="KaTeX_Math" w:hAnsi="KaTeX_Math"/>
          <w:i/>
          <w:iCs/>
          <w:sz w:val="17"/>
          <w:szCs w:val="17"/>
        </w:rPr>
        <w:t>p</w:t>
      </w:r>
      <w:r>
        <w:rPr>
          <w:rStyle w:val="vlist-s"/>
          <w:sz w:val="2"/>
          <w:szCs w:val="2"/>
        </w:rPr>
        <w:t>​</w:t>
      </w:r>
      <w:r>
        <w:rPr>
          <w:rStyle w:val="mbin"/>
        </w:rPr>
        <w:t>+</w:t>
      </w:r>
      <w:r>
        <w:rPr>
          <w:rStyle w:val="mord"/>
          <w:rFonts w:ascii="KaTeX_Math" w:hAnsi="KaTeX_Math"/>
          <w:i/>
          <w:iCs/>
        </w:rPr>
        <w:t>ε</w:t>
      </w:r>
      <w:r>
        <w:rPr>
          <w:rStyle w:val="mord"/>
          <w:rFonts w:ascii="KaTeX_Math" w:hAnsi="KaTeX_Math"/>
          <w:i/>
          <w:iCs/>
          <w:color w:val="ECECEC"/>
          <w:sz w:val="20"/>
          <w:szCs w:val="20"/>
          <w:shd w:val="clear" w:color="auto" w:fill="212121"/>
        </w:rPr>
        <w:t>t</w:t>
      </w:r>
      <w:r>
        <w:rPr>
          <w:rStyle w:val="vlist-s"/>
          <w:color w:val="ECECEC"/>
          <w:sz w:val="2"/>
          <w:szCs w:val="2"/>
          <w:shd w:val="clear" w:color="auto" w:fill="212121"/>
        </w:rPr>
        <w:t>​</w:t>
      </w:r>
      <w:r>
        <w:rPr>
          <w:color w:val="ECECEC"/>
          <w:sz w:val="29"/>
          <w:szCs w:val="29"/>
          <w:shd w:val="clear" w:color="auto" w:fill="212121"/>
        </w:rPr>
        <w:br/>
      </w:r>
    </w:p>
    <w:p w14:paraId="0BF699CD" w14:textId="77777777" w:rsidR="00C81AC0" w:rsidRPr="00C81AC0" w:rsidRDefault="00C81AC0" w:rsidP="0043269A">
      <w:pPr>
        <w:pStyle w:val="Heading3"/>
        <w:jc w:val="both"/>
        <w:rPr>
          <w:sz w:val="20"/>
          <w:szCs w:val="20"/>
        </w:rPr>
      </w:pPr>
      <w:r w:rsidRPr="00C81AC0">
        <w:rPr>
          <w:sz w:val="20"/>
          <w:szCs w:val="20"/>
        </w:rPr>
        <w:t>B. Prophet</w:t>
      </w:r>
    </w:p>
    <w:p w14:paraId="0E771748" w14:textId="77777777" w:rsidR="00C81AC0" w:rsidRPr="00C81AC0" w:rsidRDefault="00C81AC0" w:rsidP="0043269A">
      <w:pPr>
        <w:pStyle w:val="whitespace-pre-wrap"/>
        <w:jc w:val="both"/>
        <w:rPr>
          <w:sz w:val="20"/>
          <w:szCs w:val="20"/>
        </w:rPr>
      </w:pPr>
      <w:r w:rsidRPr="00C81AC0">
        <w:rPr>
          <w:sz w:val="20"/>
          <w:szCs w:val="20"/>
        </w:rPr>
        <w:t>The Prophet model, developed by Facebook, is a powerful forecasting tool tailored for capturing seasonal effects and non-linear patterns in time series data, making it well-suited for analyzing air quality dynamics. The implementation of the Prophet model involves the following steps:</w:t>
      </w:r>
    </w:p>
    <w:p w14:paraId="09C4D56A" w14:textId="77777777" w:rsidR="00C81AC0" w:rsidRPr="00C81AC0" w:rsidRDefault="00C81AC0" w:rsidP="0043269A">
      <w:pPr>
        <w:pStyle w:val="whitespace-normal"/>
        <w:numPr>
          <w:ilvl w:val="0"/>
          <w:numId w:val="32"/>
        </w:numPr>
        <w:jc w:val="both"/>
        <w:rPr>
          <w:sz w:val="20"/>
          <w:szCs w:val="20"/>
        </w:rPr>
      </w:pPr>
      <w:r w:rsidRPr="00C81AC0">
        <w:rPr>
          <w:rStyle w:val="Strong"/>
          <w:sz w:val="20"/>
          <w:szCs w:val="20"/>
        </w:rPr>
        <w:t>Data Preprocessing</w:t>
      </w:r>
      <w:r w:rsidRPr="00C81AC0">
        <w:rPr>
          <w:sz w:val="20"/>
          <w:szCs w:val="20"/>
        </w:rPr>
        <w:t>: The air quality dataset is preprocessed to handle missing values, outliers, and ensure compatibility with the Prophet model's input format.</w:t>
      </w:r>
    </w:p>
    <w:p w14:paraId="5F3BF615" w14:textId="77777777" w:rsidR="00C81AC0" w:rsidRPr="00C81AC0" w:rsidRDefault="00C81AC0" w:rsidP="0043269A">
      <w:pPr>
        <w:pStyle w:val="whitespace-normal"/>
        <w:numPr>
          <w:ilvl w:val="0"/>
          <w:numId w:val="32"/>
        </w:numPr>
        <w:jc w:val="both"/>
        <w:rPr>
          <w:sz w:val="20"/>
          <w:szCs w:val="20"/>
        </w:rPr>
      </w:pPr>
      <w:r w:rsidRPr="00C81AC0">
        <w:rPr>
          <w:rStyle w:val="Strong"/>
          <w:sz w:val="20"/>
          <w:szCs w:val="20"/>
        </w:rPr>
        <w:t>Model Configuration</w:t>
      </w:r>
      <w:r w:rsidRPr="00C81AC0">
        <w:rPr>
          <w:sz w:val="20"/>
          <w:szCs w:val="20"/>
        </w:rPr>
        <w:t>: The Prophet model is configured by specifying the growth model (linear or logistic), holiday effects, and any additional regressors or covariates that may influence air quality levels.</w:t>
      </w:r>
    </w:p>
    <w:p w14:paraId="1A5C74C6" w14:textId="77777777" w:rsidR="00C81AC0" w:rsidRPr="00C81AC0" w:rsidRDefault="00C81AC0" w:rsidP="0043269A">
      <w:pPr>
        <w:pStyle w:val="whitespace-normal"/>
        <w:numPr>
          <w:ilvl w:val="0"/>
          <w:numId w:val="32"/>
        </w:numPr>
        <w:jc w:val="both"/>
        <w:rPr>
          <w:sz w:val="20"/>
          <w:szCs w:val="20"/>
        </w:rPr>
      </w:pPr>
      <w:r w:rsidRPr="00C81AC0">
        <w:rPr>
          <w:rStyle w:val="Strong"/>
          <w:sz w:val="20"/>
          <w:szCs w:val="20"/>
        </w:rPr>
        <w:t>Model Fitting</w:t>
      </w:r>
      <w:r w:rsidRPr="00C81AC0">
        <w:rPr>
          <w:sz w:val="20"/>
          <w:szCs w:val="20"/>
        </w:rPr>
        <w:t xml:space="preserve">: The Prophet model is fitted to the preprocessed air quality data, learning the temporal </w:t>
      </w:r>
      <w:proofErr w:type="gramStart"/>
      <w:r w:rsidRPr="00C81AC0">
        <w:rPr>
          <w:sz w:val="20"/>
          <w:szCs w:val="20"/>
        </w:rPr>
        <w:t>patterns</w:t>
      </w:r>
      <w:proofErr w:type="gramEnd"/>
      <w:r w:rsidRPr="00C81AC0">
        <w:rPr>
          <w:sz w:val="20"/>
          <w:szCs w:val="20"/>
        </w:rPr>
        <w:t xml:space="preserve"> and capturing seasonal effects.</w:t>
      </w:r>
    </w:p>
    <w:p w14:paraId="67F88E0B" w14:textId="77777777" w:rsidR="00C81AC0" w:rsidRPr="00C81AC0" w:rsidRDefault="00C81AC0" w:rsidP="0043269A">
      <w:pPr>
        <w:pStyle w:val="whitespace-normal"/>
        <w:numPr>
          <w:ilvl w:val="0"/>
          <w:numId w:val="32"/>
        </w:numPr>
        <w:jc w:val="both"/>
        <w:rPr>
          <w:sz w:val="20"/>
          <w:szCs w:val="20"/>
        </w:rPr>
      </w:pPr>
      <w:r w:rsidRPr="00C81AC0">
        <w:rPr>
          <w:rStyle w:val="Strong"/>
          <w:sz w:val="20"/>
          <w:szCs w:val="20"/>
        </w:rPr>
        <w:t>Model Validation</w:t>
      </w:r>
      <w:r w:rsidRPr="00C81AC0">
        <w:rPr>
          <w:sz w:val="20"/>
          <w:szCs w:val="20"/>
        </w:rPr>
        <w:t>: The performance of the fitted Prophet model is evaluated using standard metrics such as MAE, RMSE, and MAPE, as well as visual inspection of predicted versus actual values.</w:t>
      </w:r>
    </w:p>
    <w:p w14:paraId="456E2C17" w14:textId="77777777" w:rsidR="00C81AC0" w:rsidRPr="00C81AC0" w:rsidRDefault="00C81AC0" w:rsidP="0043269A">
      <w:pPr>
        <w:pStyle w:val="whitespace-normal"/>
        <w:numPr>
          <w:ilvl w:val="0"/>
          <w:numId w:val="32"/>
        </w:numPr>
        <w:jc w:val="both"/>
        <w:rPr>
          <w:sz w:val="20"/>
          <w:szCs w:val="20"/>
        </w:rPr>
      </w:pPr>
      <w:r w:rsidRPr="00C81AC0">
        <w:rPr>
          <w:rStyle w:val="Strong"/>
          <w:sz w:val="20"/>
          <w:szCs w:val="20"/>
        </w:rPr>
        <w:t>Forecasting</w:t>
      </w:r>
      <w:r w:rsidRPr="00C81AC0">
        <w:rPr>
          <w:sz w:val="20"/>
          <w:szCs w:val="20"/>
        </w:rPr>
        <w:t>: The validated Prophet model is utilized to generate forecasts for future air quality levels, accounting for seasonal patterns and non-linear trends, aiding stakeholders in decision-making and urban planning strategies.</w:t>
      </w:r>
    </w:p>
    <w:p w14:paraId="2E9E3E01" w14:textId="77777777" w:rsidR="00C81AC0" w:rsidRPr="00C81AC0" w:rsidRDefault="00C81AC0" w:rsidP="0043269A">
      <w:pPr>
        <w:pStyle w:val="Heading3"/>
        <w:jc w:val="both"/>
        <w:rPr>
          <w:sz w:val="20"/>
          <w:szCs w:val="20"/>
        </w:rPr>
      </w:pPr>
      <w:r w:rsidRPr="00C81AC0">
        <w:rPr>
          <w:sz w:val="20"/>
          <w:szCs w:val="20"/>
        </w:rPr>
        <w:t>C. VAR</w:t>
      </w:r>
    </w:p>
    <w:p w14:paraId="07BD896E" w14:textId="77777777" w:rsidR="00C81AC0" w:rsidRPr="00C81AC0" w:rsidRDefault="00C81AC0" w:rsidP="0043269A">
      <w:pPr>
        <w:pStyle w:val="whitespace-pre-wrap"/>
        <w:jc w:val="both"/>
        <w:rPr>
          <w:sz w:val="20"/>
          <w:szCs w:val="20"/>
        </w:rPr>
      </w:pPr>
      <w:r w:rsidRPr="00C81AC0">
        <w:rPr>
          <w:sz w:val="20"/>
          <w:szCs w:val="20"/>
        </w:rPr>
        <w:t>The VAR (Vector Autoregression) model provides insights into the dynamic relationships among multiple air quality variables, enabling a comprehensive understanding of their interdependencies. The implementation of the VAR model involves the following steps:</w:t>
      </w:r>
    </w:p>
    <w:p w14:paraId="0D4DE501" w14:textId="77777777" w:rsidR="00C81AC0" w:rsidRPr="00C81AC0" w:rsidRDefault="00C81AC0" w:rsidP="0043269A">
      <w:pPr>
        <w:pStyle w:val="whitespace-normal"/>
        <w:numPr>
          <w:ilvl w:val="0"/>
          <w:numId w:val="33"/>
        </w:numPr>
        <w:jc w:val="both"/>
        <w:rPr>
          <w:sz w:val="20"/>
          <w:szCs w:val="20"/>
        </w:rPr>
      </w:pPr>
      <w:r w:rsidRPr="00C81AC0">
        <w:rPr>
          <w:rStyle w:val="Strong"/>
          <w:sz w:val="20"/>
          <w:szCs w:val="20"/>
        </w:rPr>
        <w:t>Data Preprocessing</w:t>
      </w:r>
      <w:r w:rsidRPr="00C81AC0">
        <w:rPr>
          <w:sz w:val="20"/>
          <w:szCs w:val="20"/>
        </w:rPr>
        <w:t>: The air quality dataset is preprocessed to handle missing values, outliers, and ensure stationarity for all variables included in the VAR model.</w:t>
      </w:r>
    </w:p>
    <w:p w14:paraId="00571901" w14:textId="77777777" w:rsidR="00C81AC0" w:rsidRPr="00C81AC0" w:rsidRDefault="00C81AC0" w:rsidP="0043269A">
      <w:pPr>
        <w:pStyle w:val="whitespace-normal"/>
        <w:numPr>
          <w:ilvl w:val="0"/>
          <w:numId w:val="33"/>
        </w:numPr>
        <w:jc w:val="both"/>
        <w:rPr>
          <w:sz w:val="20"/>
          <w:szCs w:val="20"/>
        </w:rPr>
      </w:pPr>
      <w:r w:rsidRPr="00C81AC0">
        <w:rPr>
          <w:rStyle w:val="Strong"/>
          <w:sz w:val="20"/>
          <w:szCs w:val="20"/>
        </w:rPr>
        <w:t>Model Setup</w:t>
      </w:r>
      <w:r w:rsidRPr="00C81AC0">
        <w:rPr>
          <w:sz w:val="20"/>
          <w:szCs w:val="20"/>
        </w:rPr>
        <w:t>: The VAR model is structured to accommodate multiple air quality parameters as endogenous variables, capturing their lagged effects and interactions over time. The appropriate lag order is determined through information criteria or diagnostic tests.</w:t>
      </w:r>
    </w:p>
    <w:p w14:paraId="2866F356" w14:textId="77777777" w:rsidR="00C81AC0" w:rsidRPr="00C81AC0" w:rsidRDefault="00C81AC0" w:rsidP="0043269A">
      <w:pPr>
        <w:pStyle w:val="whitespace-normal"/>
        <w:numPr>
          <w:ilvl w:val="0"/>
          <w:numId w:val="33"/>
        </w:numPr>
        <w:jc w:val="both"/>
        <w:rPr>
          <w:sz w:val="20"/>
          <w:szCs w:val="20"/>
        </w:rPr>
      </w:pPr>
      <w:r w:rsidRPr="00C81AC0">
        <w:rPr>
          <w:rStyle w:val="Strong"/>
          <w:sz w:val="20"/>
          <w:szCs w:val="20"/>
        </w:rPr>
        <w:t>Parameter Estimation</w:t>
      </w:r>
      <w:r w:rsidRPr="00C81AC0">
        <w:rPr>
          <w:sz w:val="20"/>
          <w:szCs w:val="20"/>
        </w:rPr>
        <w:t>: The coefficients of the VAR model are estimated using techniques such as ordinary least squares (OLS) or maximum likelihood estimation (MLE), quantifying the relationships among the endogenous variables and their lagged values.</w:t>
      </w:r>
    </w:p>
    <w:p w14:paraId="1091F806" w14:textId="77777777" w:rsidR="00C81AC0" w:rsidRPr="00C81AC0" w:rsidRDefault="00C81AC0" w:rsidP="0043269A">
      <w:pPr>
        <w:pStyle w:val="whitespace-normal"/>
        <w:numPr>
          <w:ilvl w:val="0"/>
          <w:numId w:val="33"/>
        </w:numPr>
        <w:jc w:val="both"/>
        <w:rPr>
          <w:sz w:val="20"/>
          <w:szCs w:val="20"/>
        </w:rPr>
      </w:pPr>
      <w:r w:rsidRPr="00C81AC0">
        <w:rPr>
          <w:rStyle w:val="Strong"/>
          <w:sz w:val="20"/>
          <w:szCs w:val="20"/>
        </w:rPr>
        <w:t>Diagnostic Tests</w:t>
      </w:r>
      <w:r w:rsidRPr="00C81AC0">
        <w:rPr>
          <w:sz w:val="20"/>
          <w:szCs w:val="20"/>
        </w:rPr>
        <w:t>: Diagnostic tests, including residual analysis and stability checks, are performed to assess the goodness-of-fit and validity of the VAR model, ensuring that the underlying assumptions are met.</w:t>
      </w:r>
    </w:p>
    <w:p w14:paraId="4AE4AE82" w14:textId="77777777" w:rsidR="00C81AC0" w:rsidRPr="00C81AC0" w:rsidRDefault="00C81AC0" w:rsidP="0043269A">
      <w:pPr>
        <w:pStyle w:val="whitespace-normal"/>
        <w:numPr>
          <w:ilvl w:val="0"/>
          <w:numId w:val="33"/>
        </w:numPr>
        <w:jc w:val="both"/>
        <w:rPr>
          <w:sz w:val="20"/>
          <w:szCs w:val="20"/>
        </w:rPr>
      </w:pPr>
      <w:r w:rsidRPr="00C81AC0">
        <w:rPr>
          <w:rStyle w:val="Strong"/>
          <w:sz w:val="20"/>
          <w:szCs w:val="20"/>
        </w:rPr>
        <w:t>Forecasting</w:t>
      </w:r>
      <w:r w:rsidRPr="00C81AC0">
        <w:rPr>
          <w:sz w:val="20"/>
          <w:szCs w:val="20"/>
        </w:rPr>
        <w:t>: The estimated coefficients and lagged values of the endogenous variables are utilized to generate forecasts for the air quality parameters, enabling stakeholders to understand the interconnected nature of air quality dynamics and make informed decisions.</w:t>
      </w:r>
    </w:p>
    <w:p w14:paraId="42079123" w14:textId="77777777" w:rsidR="00C81AC0" w:rsidRPr="00C81AC0" w:rsidRDefault="00C81AC0" w:rsidP="0043269A">
      <w:pPr>
        <w:pStyle w:val="Heading3"/>
        <w:jc w:val="both"/>
        <w:rPr>
          <w:sz w:val="20"/>
          <w:szCs w:val="20"/>
        </w:rPr>
      </w:pPr>
      <w:r w:rsidRPr="00C81AC0">
        <w:rPr>
          <w:sz w:val="20"/>
          <w:szCs w:val="20"/>
        </w:rPr>
        <w:t>D. LSTM</w:t>
      </w:r>
    </w:p>
    <w:p w14:paraId="3757B260" w14:textId="77777777" w:rsidR="00C81AC0" w:rsidRPr="00C81AC0" w:rsidRDefault="00C81AC0" w:rsidP="0043269A">
      <w:pPr>
        <w:pStyle w:val="whitespace-pre-wrap"/>
        <w:jc w:val="both"/>
        <w:rPr>
          <w:sz w:val="20"/>
          <w:szCs w:val="20"/>
        </w:rPr>
      </w:pPr>
      <w:r w:rsidRPr="00C81AC0">
        <w:rPr>
          <w:sz w:val="20"/>
          <w:szCs w:val="20"/>
        </w:rPr>
        <w:t>The LSTM (Long Short-Term Memory) model, a type of recurrent neural network architecture, is specifically designed for sequence prediction tasks, making it well-suited for analyzing air quality time series data. The implementation of the LSTM model involves the following steps:</w:t>
      </w:r>
    </w:p>
    <w:p w14:paraId="3A62CB5E" w14:textId="77777777" w:rsidR="00C81AC0" w:rsidRPr="00C81AC0" w:rsidRDefault="00C81AC0" w:rsidP="0043269A">
      <w:pPr>
        <w:pStyle w:val="whitespace-normal"/>
        <w:numPr>
          <w:ilvl w:val="0"/>
          <w:numId w:val="34"/>
        </w:numPr>
        <w:jc w:val="both"/>
        <w:rPr>
          <w:sz w:val="20"/>
          <w:szCs w:val="20"/>
        </w:rPr>
      </w:pPr>
      <w:r w:rsidRPr="00C81AC0">
        <w:rPr>
          <w:rStyle w:val="Strong"/>
          <w:sz w:val="20"/>
          <w:szCs w:val="20"/>
        </w:rPr>
        <w:t>Data Preprocessing</w:t>
      </w:r>
      <w:r w:rsidRPr="00C81AC0">
        <w:rPr>
          <w:sz w:val="20"/>
          <w:szCs w:val="20"/>
        </w:rPr>
        <w:t>: The air quality dataset is preprocessed to handle missing values, outliers, and ensure stationarity. Feature engineering is performed to transform the time series data into sequences of fixed length, facilitating model convergence and stability.</w:t>
      </w:r>
    </w:p>
    <w:p w14:paraId="7B209B5A" w14:textId="77777777" w:rsidR="00C81AC0" w:rsidRPr="00C81AC0" w:rsidRDefault="00C81AC0" w:rsidP="0043269A">
      <w:pPr>
        <w:pStyle w:val="whitespace-normal"/>
        <w:numPr>
          <w:ilvl w:val="0"/>
          <w:numId w:val="34"/>
        </w:numPr>
        <w:jc w:val="both"/>
        <w:rPr>
          <w:sz w:val="20"/>
          <w:szCs w:val="20"/>
        </w:rPr>
      </w:pPr>
      <w:r w:rsidRPr="00C81AC0">
        <w:rPr>
          <w:rStyle w:val="Strong"/>
          <w:sz w:val="20"/>
          <w:szCs w:val="20"/>
        </w:rPr>
        <w:t>Model Architecture Design</w:t>
      </w:r>
      <w:r w:rsidRPr="00C81AC0">
        <w:rPr>
          <w:sz w:val="20"/>
          <w:szCs w:val="20"/>
        </w:rPr>
        <w:t>: The LSTM model architecture is designed by incorporating multiple LSTM layers with dropout regularization to mitigate overfitting and improve model generalization.</w:t>
      </w:r>
    </w:p>
    <w:p w14:paraId="2CF4D378" w14:textId="77777777" w:rsidR="00C81AC0" w:rsidRPr="00C81AC0" w:rsidRDefault="00C81AC0" w:rsidP="0043269A">
      <w:pPr>
        <w:pStyle w:val="whitespace-normal"/>
        <w:numPr>
          <w:ilvl w:val="0"/>
          <w:numId w:val="34"/>
        </w:numPr>
        <w:jc w:val="both"/>
        <w:rPr>
          <w:sz w:val="20"/>
          <w:szCs w:val="20"/>
        </w:rPr>
      </w:pPr>
      <w:r w:rsidRPr="00C81AC0">
        <w:rPr>
          <w:rStyle w:val="Strong"/>
          <w:sz w:val="20"/>
          <w:szCs w:val="20"/>
        </w:rPr>
        <w:t>Model Training</w:t>
      </w:r>
      <w:r w:rsidRPr="00C81AC0">
        <w:rPr>
          <w:sz w:val="20"/>
          <w:szCs w:val="20"/>
        </w:rPr>
        <w:t>: The LSTM model is trained on the preprocessed air quality data using techniques such as mini-batch gradient descent and backpropagation through time (BPTT). Hyperparameter tuning is performed to optimize model performance by adjusting parameters such as learning rate, batch size, and the number of LSTM units.</w:t>
      </w:r>
    </w:p>
    <w:p w14:paraId="47615B2A" w14:textId="77777777" w:rsidR="00C81AC0" w:rsidRPr="00C81AC0" w:rsidRDefault="00C81AC0" w:rsidP="0043269A">
      <w:pPr>
        <w:pStyle w:val="whitespace-normal"/>
        <w:numPr>
          <w:ilvl w:val="0"/>
          <w:numId w:val="34"/>
        </w:numPr>
        <w:jc w:val="both"/>
        <w:rPr>
          <w:sz w:val="20"/>
          <w:szCs w:val="20"/>
        </w:rPr>
      </w:pPr>
      <w:r w:rsidRPr="00C81AC0">
        <w:rPr>
          <w:rStyle w:val="Strong"/>
          <w:sz w:val="20"/>
          <w:szCs w:val="20"/>
        </w:rPr>
        <w:t>Model Evaluation</w:t>
      </w:r>
      <w:r w:rsidRPr="00C81AC0">
        <w:rPr>
          <w:sz w:val="20"/>
          <w:szCs w:val="20"/>
        </w:rPr>
        <w:t>: The performance of the trained LSTM model is evaluated using standard metrics such as Mean Squared Error (MSE) or Mean Absolute Error (MAE), comparing predicted values against ground truth observations. Visual inspection of predicted versus actual time series plots is also conducted.</w:t>
      </w:r>
    </w:p>
    <w:p w14:paraId="7CF3396A" w14:textId="77777777" w:rsidR="00C81AC0" w:rsidRPr="00C81AC0" w:rsidRDefault="00C81AC0" w:rsidP="0043269A">
      <w:pPr>
        <w:pStyle w:val="whitespace-normal"/>
        <w:numPr>
          <w:ilvl w:val="0"/>
          <w:numId w:val="34"/>
        </w:numPr>
        <w:jc w:val="both"/>
        <w:rPr>
          <w:sz w:val="20"/>
          <w:szCs w:val="20"/>
        </w:rPr>
      </w:pPr>
      <w:r w:rsidRPr="00C81AC0">
        <w:rPr>
          <w:rStyle w:val="Strong"/>
          <w:sz w:val="20"/>
          <w:szCs w:val="20"/>
        </w:rPr>
        <w:t>Forecasting</w:t>
      </w:r>
      <w:r w:rsidRPr="00C81AC0">
        <w:rPr>
          <w:sz w:val="20"/>
          <w:szCs w:val="20"/>
        </w:rPr>
        <w:t>: The trained LSTM model is utilized to generate forecasts for future air quality levels, leveraging its ability to capture intricate patterns and relationships in sequential data, aiding stakeholders in decision-making and environmental management strategies.</w:t>
      </w:r>
    </w:p>
    <w:p w14:paraId="7D81C109" w14:textId="3788C6B3" w:rsidR="00A0232B" w:rsidRDefault="00C81AC0" w:rsidP="0043269A">
      <w:pPr>
        <w:pStyle w:val="whitespace-pre-wrap"/>
        <w:jc w:val="both"/>
        <w:rPr>
          <w:sz w:val="20"/>
          <w:szCs w:val="20"/>
        </w:rPr>
      </w:pPr>
      <w:r w:rsidRPr="00C81AC0">
        <w:rPr>
          <w:sz w:val="20"/>
          <w:szCs w:val="20"/>
        </w:rPr>
        <w:t>Through these methodologies, the research paper aims to provide comprehensive insights into air quality dynamics, facilitating informed decision-making for environmental sustainability initiatives. By leveraging the strengths of each approach, the study contributes to a deeper understanding of air quality dynamics and promotes effective strategies for mitigating environmental impact and fostering sustainable dev</w:t>
      </w:r>
      <w:r w:rsidR="000777D2">
        <w:rPr>
          <w:sz w:val="20"/>
          <w:szCs w:val="20"/>
        </w:rPr>
        <w:t>elopment.</w:t>
      </w:r>
    </w:p>
    <w:tbl>
      <w:tblPr>
        <w:tblStyle w:val="TableGrid"/>
        <w:tblW w:w="0" w:type="auto"/>
        <w:tblLook w:val="04A0" w:firstRow="1" w:lastRow="0" w:firstColumn="1" w:lastColumn="0" w:noHBand="0" w:noVBand="1"/>
      </w:tblPr>
      <w:tblGrid>
        <w:gridCol w:w="1196"/>
        <w:gridCol w:w="3599"/>
      </w:tblGrid>
      <w:tr w:rsidR="000777D2" w14:paraId="6D0A3BB8" w14:textId="77777777" w:rsidTr="000777D2">
        <w:tc>
          <w:tcPr>
            <w:tcW w:w="1242" w:type="dxa"/>
          </w:tcPr>
          <w:p w14:paraId="79F1222A" w14:textId="08C003C6" w:rsidR="000777D2" w:rsidRDefault="000777D2" w:rsidP="0043269A">
            <w:pPr>
              <w:pStyle w:val="whitespace-pre-wrap"/>
              <w:jc w:val="both"/>
              <w:rPr>
                <w:sz w:val="20"/>
                <w:szCs w:val="20"/>
              </w:rPr>
            </w:pPr>
            <w:r>
              <w:rPr>
                <w:sz w:val="20"/>
                <w:szCs w:val="20"/>
              </w:rPr>
              <w:t>Model name</w:t>
            </w:r>
          </w:p>
        </w:tc>
        <w:tc>
          <w:tcPr>
            <w:tcW w:w="3779" w:type="dxa"/>
          </w:tcPr>
          <w:p w14:paraId="32B88D1C" w14:textId="729C4C5F" w:rsidR="000777D2" w:rsidRDefault="000777D2" w:rsidP="0043269A">
            <w:pPr>
              <w:pStyle w:val="whitespace-pre-wrap"/>
              <w:jc w:val="both"/>
              <w:rPr>
                <w:sz w:val="20"/>
                <w:szCs w:val="20"/>
              </w:rPr>
            </w:pPr>
            <w:r>
              <w:rPr>
                <w:sz w:val="20"/>
                <w:szCs w:val="20"/>
              </w:rPr>
              <w:t>Equations</w:t>
            </w:r>
          </w:p>
        </w:tc>
      </w:tr>
      <w:tr w:rsidR="000777D2" w14:paraId="4A1F1007" w14:textId="77777777" w:rsidTr="000777D2">
        <w:tc>
          <w:tcPr>
            <w:tcW w:w="1242" w:type="dxa"/>
          </w:tcPr>
          <w:p w14:paraId="27C0257C" w14:textId="07CA5F85" w:rsidR="000777D2" w:rsidRDefault="000777D2" w:rsidP="0043269A">
            <w:pPr>
              <w:pStyle w:val="whitespace-pre-wrap"/>
              <w:jc w:val="both"/>
              <w:rPr>
                <w:sz w:val="20"/>
                <w:szCs w:val="20"/>
              </w:rPr>
            </w:pPr>
            <w:r>
              <w:rPr>
                <w:sz w:val="20"/>
                <w:szCs w:val="20"/>
              </w:rPr>
              <w:t>ARIMA</w:t>
            </w:r>
          </w:p>
        </w:tc>
        <w:tc>
          <w:tcPr>
            <w:tcW w:w="3779" w:type="dxa"/>
          </w:tcPr>
          <w:p w14:paraId="0160BE1C" w14:textId="77777777" w:rsidR="000777D2" w:rsidRDefault="000777D2" w:rsidP="0043269A">
            <w:pPr>
              <w:pStyle w:val="whitespace-pre-wrap"/>
              <w:jc w:val="both"/>
              <w:rPr>
                <w:rStyle w:val="vlist-s"/>
                <w:color w:val="ECECEC"/>
                <w:sz w:val="2"/>
                <w:szCs w:val="2"/>
                <w:shd w:val="clear" w:color="auto" w:fill="212121"/>
              </w:rPr>
            </w:pPr>
            <w:r>
              <w:rPr>
                <w:rStyle w:val="mord"/>
                <w:rFonts w:ascii="KaTeX_Math" w:hAnsi="KaTeX_Math"/>
                <w:i/>
                <w:iCs/>
              </w:rPr>
              <w:t>X</w:t>
            </w:r>
            <w:r>
              <w:rPr>
                <w:rStyle w:val="mord"/>
                <w:rFonts w:ascii="KaTeX_Math" w:hAnsi="KaTeX_Math"/>
                <w:i/>
                <w:iCs/>
                <w:sz w:val="17"/>
                <w:szCs w:val="17"/>
              </w:rPr>
              <w:t>t</w:t>
            </w:r>
            <w:r>
              <w:rPr>
                <w:rStyle w:val="vlist-s"/>
                <w:sz w:val="2"/>
                <w:szCs w:val="2"/>
              </w:rPr>
              <w:t>​</w:t>
            </w:r>
            <w:r>
              <w:rPr>
                <w:rStyle w:val="mrel"/>
              </w:rPr>
              <w:t>=</w:t>
            </w:r>
            <w:r>
              <w:rPr>
                <w:rStyle w:val="mord"/>
                <w:rFonts w:ascii="KaTeX_Math" w:hAnsi="KaTeX_Math"/>
                <w:i/>
                <w:iCs/>
              </w:rPr>
              <w:t>c</w:t>
            </w:r>
            <w:r>
              <w:rPr>
                <w:rStyle w:val="mbin"/>
              </w:rPr>
              <w:t>+</w:t>
            </w:r>
            <w:r>
              <w:rPr>
                <w:rStyle w:val="mord"/>
                <w:rFonts w:ascii="KaTeX_Math" w:hAnsi="KaTeX_Math"/>
                <w:i/>
                <w:iCs/>
              </w:rPr>
              <w:t>ϕ</w:t>
            </w:r>
            <w:r>
              <w:rPr>
                <w:rStyle w:val="mord"/>
                <w:sz w:val="17"/>
                <w:szCs w:val="17"/>
              </w:rPr>
              <w:t>1</w:t>
            </w:r>
            <w:r>
              <w:rPr>
                <w:rStyle w:val="vlist-s"/>
                <w:sz w:val="2"/>
                <w:szCs w:val="2"/>
              </w:rPr>
              <w:t>​</w:t>
            </w:r>
            <w:r>
              <w:rPr>
                <w:rStyle w:val="mord"/>
                <w:rFonts w:ascii="KaTeX_Math" w:hAnsi="KaTeX_Math"/>
                <w:i/>
                <w:iCs/>
              </w:rPr>
              <w:t>X</w:t>
            </w:r>
            <w:r>
              <w:rPr>
                <w:rStyle w:val="mord"/>
                <w:rFonts w:ascii="KaTeX_Math" w:hAnsi="KaTeX_Math"/>
                <w:i/>
                <w:iCs/>
                <w:sz w:val="17"/>
                <w:szCs w:val="17"/>
              </w:rPr>
              <w:t>t</w:t>
            </w:r>
            <w:r>
              <w:rPr>
                <w:rStyle w:val="mbin"/>
                <w:sz w:val="17"/>
                <w:szCs w:val="17"/>
              </w:rPr>
              <w:t>−</w:t>
            </w:r>
            <w:r>
              <w:rPr>
                <w:rStyle w:val="mord"/>
                <w:sz w:val="17"/>
                <w:szCs w:val="17"/>
              </w:rPr>
              <w:t>1</w:t>
            </w:r>
            <w:r>
              <w:rPr>
                <w:rStyle w:val="vlist-s"/>
                <w:sz w:val="2"/>
                <w:szCs w:val="2"/>
              </w:rPr>
              <w:t>​</w:t>
            </w:r>
            <w:r>
              <w:rPr>
                <w:rStyle w:val="mbin"/>
              </w:rPr>
              <w:t>+</w:t>
            </w:r>
            <w:r>
              <w:rPr>
                <w:rStyle w:val="mord"/>
                <w:rFonts w:ascii="KaTeX_Math" w:hAnsi="KaTeX_Math"/>
                <w:i/>
                <w:iCs/>
              </w:rPr>
              <w:t>ϕ</w:t>
            </w:r>
            <w:r>
              <w:rPr>
                <w:rStyle w:val="mord"/>
                <w:sz w:val="17"/>
                <w:szCs w:val="17"/>
              </w:rPr>
              <w:t>2</w:t>
            </w:r>
            <w:r>
              <w:rPr>
                <w:rStyle w:val="vlist-s"/>
                <w:sz w:val="2"/>
                <w:szCs w:val="2"/>
              </w:rPr>
              <w:t>​</w:t>
            </w:r>
            <w:r>
              <w:rPr>
                <w:rStyle w:val="mord"/>
                <w:rFonts w:ascii="KaTeX_Math" w:hAnsi="KaTeX_Math"/>
                <w:i/>
                <w:iCs/>
              </w:rPr>
              <w:t>X</w:t>
            </w:r>
            <w:r>
              <w:rPr>
                <w:rStyle w:val="mord"/>
                <w:rFonts w:ascii="KaTeX_Math" w:hAnsi="KaTeX_Math"/>
                <w:i/>
                <w:iCs/>
                <w:sz w:val="17"/>
                <w:szCs w:val="17"/>
              </w:rPr>
              <w:t>t</w:t>
            </w:r>
            <w:r>
              <w:rPr>
                <w:rStyle w:val="mbin"/>
                <w:sz w:val="17"/>
                <w:szCs w:val="17"/>
              </w:rPr>
              <w:t>−</w:t>
            </w:r>
            <w:r>
              <w:rPr>
                <w:rStyle w:val="mord"/>
                <w:sz w:val="17"/>
                <w:szCs w:val="17"/>
              </w:rPr>
              <w:t>2</w:t>
            </w:r>
            <w:r>
              <w:rPr>
                <w:rStyle w:val="vlist-s"/>
                <w:sz w:val="2"/>
                <w:szCs w:val="2"/>
              </w:rPr>
              <w:t>​</w:t>
            </w:r>
            <w:r>
              <w:rPr>
                <w:rStyle w:val="mbin"/>
              </w:rPr>
              <w:t>+</w:t>
            </w:r>
            <w:r>
              <w:rPr>
                <w:rStyle w:val="minner"/>
                <w:rFonts w:ascii="Cambria Math" w:hAnsi="Cambria Math" w:cs="Cambria Math"/>
              </w:rPr>
              <w:t>⋯</w:t>
            </w:r>
            <w:r>
              <w:rPr>
                <w:rStyle w:val="mbin"/>
              </w:rPr>
              <w:t>+</w:t>
            </w:r>
            <w:r>
              <w:rPr>
                <w:rStyle w:val="mord"/>
                <w:rFonts w:ascii="KaTeX_Math" w:hAnsi="KaTeX_Math"/>
                <w:i/>
                <w:iCs/>
              </w:rPr>
              <w:t>ϕ</w:t>
            </w:r>
            <w:r>
              <w:rPr>
                <w:rStyle w:val="mord"/>
                <w:rFonts w:ascii="KaTeX_Math" w:hAnsi="KaTeX_Math"/>
                <w:i/>
                <w:iCs/>
                <w:sz w:val="17"/>
                <w:szCs w:val="17"/>
              </w:rPr>
              <w:t>p</w:t>
            </w:r>
            <w:r>
              <w:rPr>
                <w:rStyle w:val="vlist-s"/>
                <w:sz w:val="2"/>
                <w:szCs w:val="2"/>
              </w:rPr>
              <w:t>​</w:t>
            </w:r>
            <w:r>
              <w:rPr>
                <w:rStyle w:val="mord"/>
                <w:rFonts w:ascii="KaTeX_Math" w:hAnsi="KaTeX_Math"/>
                <w:i/>
                <w:iCs/>
              </w:rPr>
              <w:t>X</w:t>
            </w:r>
            <w:r>
              <w:rPr>
                <w:rStyle w:val="mord"/>
                <w:rFonts w:ascii="KaTeX_Math" w:hAnsi="KaTeX_Math"/>
                <w:i/>
                <w:iCs/>
                <w:sz w:val="17"/>
                <w:szCs w:val="17"/>
              </w:rPr>
              <w:t>t</w:t>
            </w:r>
            <w:r>
              <w:rPr>
                <w:rStyle w:val="mbin"/>
                <w:sz w:val="17"/>
                <w:szCs w:val="17"/>
              </w:rPr>
              <w:t>−</w:t>
            </w:r>
            <w:r>
              <w:rPr>
                <w:rStyle w:val="mord"/>
                <w:rFonts w:ascii="KaTeX_Math" w:hAnsi="KaTeX_Math"/>
                <w:i/>
                <w:iCs/>
                <w:sz w:val="17"/>
                <w:szCs w:val="17"/>
              </w:rPr>
              <w:t>p</w:t>
            </w:r>
            <w:r>
              <w:rPr>
                <w:rStyle w:val="vlist-s"/>
                <w:sz w:val="2"/>
                <w:szCs w:val="2"/>
              </w:rPr>
              <w:t>​</w:t>
            </w:r>
            <w:r>
              <w:rPr>
                <w:rStyle w:val="mbin"/>
              </w:rPr>
              <w:t>+</w:t>
            </w:r>
            <w:r>
              <w:rPr>
                <w:rStyle w:val="mord"/>
                <w:rFonts w:ascii="KaTeX_Math" w:hAnsi="KaTeX_Math"/>
                <w:i/>
                <w:iCs/>
              </w:rPr>
              <w:t>ε</w:t>
            </w:r>
            <w:r>
              <w:rPr>
                <w:rStyle w:val="mord"/>
                <w:rFonts w:ascii="KaTeX_Math" w:hAnsi="KaTeX_Math"/>
                <w:i/>
                <w:iCs/>
                <w:color w:val="ECECEC"/>
                <w:sz w:val="20"/>
                <w:szCs w:val="20"/>
                <w:shd w:val="clear" w:color="auto" w:fill="212121"/>
              </w:rPr>
              <w:t>t</w:t>
            </w:r>
            <w:r>
              <w:rPr>
                <w:rStyle w:val="vlist-s"/>
                <w:color w:val="ECECEC"/>
                <w:sz w:val="2"/>
                <w:szCs w:val="2"/>
                <w:shd w:val="clear" w:color="auto" w:fill="212121"/>
              </w:rPr>
              <w:t>​</w:t>
            </w:r>
            <w:r>
              <w:rPr>
                <w:color w:val="ECECEC"/>
                <w:sz w:val="29"/>
                <w:szCs w:val="29"/>
                <w:shd w:val="clear" w:color="auto" w:fill="212121"/>
              </w:rPr>
              <w:br/>
            </w:r>
            <w:r>
              <w:rPr>
                <w:rStyle w:val="mord"/>
                <w:rFonts w:ascii="KaTeX_Math" w:hAnsi="KaTeX_Math"/>
                <w:i/>
                <w:iCs/>
              </w:rPr>
              <w:t>Y</w:t>
            </w:r>
            <w:r>
              <w:rPr>
                <w:rStyle w:val="mord"/>
                <w:rFonts w:ascii="KaTeX_Math" w:hAnsi="KaTeX_Math"/>
                <w:i/>
                <w:iCs/>
                <w:sz w:val="17"/>
                <w:szCs w:val="17"/>
              </w:rPr>
              <w:t>t</w:t>
            </w:r>
            <w:r>
              <w:rPr>
                <w:rStyle w:val="vlist-s"/>
                <w:sz w:val="2"/>
                <w:szCs w:val="2"/>
              </w:rPr>
              <w:t>​</w:t>
            </w:r>
            <w:r>
              <w:rPr>
                <w:rStyle w:val="mrel"/>
              </w:rPr>
              <w:t>=</w:t>
            </w:r>
            <w:r>
              <w:rPr>
                <w:rStyle w:val="mopen"/>
              </w:rPr>
              <w:t>(</w:t>
            </w:r>
            <w:r>
              <w:rPr>
                <w:rStyle w:val="mord"/>
              </w:rPr>
              <w:t>1</w:t>
            </w:r>
            <w:r>
              <w:rPr>
                <w:rStyle w:val="mbin"/>
              </w:rPr>
              <w:t>−</w:t>
            </w:r>
            <w:proofErr w:type="gramStart"/>
            <w:r>
              <w:rPr>
                <w:rStyle w:val="mord"/>
                <w:rFonts w:ascii="KaTeX_Math" w:hAnsi="KaTeX_Math"/>
                <w:i/>
                <w:iCs/>
              </w:rPr>
              <w:t>L</w:t>
            </w:r>
            <w:r>
              <w:rPr>
                <w:rStyle w:val="mclose"/>
              </w:rPr>
              <w:t>)</w:t>
            </w:r>
            <w:r>
              <w:rPr>
                <w:rStyle w:val="mord"/>
                <w:rFonts w:ascii="KaTeX_Math" w:hAnsi="KaTeX_Math"/>
                <w:i/>
                <w:iCs/>
                <w:sz w:val="17"/>
                <w:szCs w:val="17"/>
              </w:rPr>
              <w:t>d</w:t>
            </w:r>
            <w:r>
              <w:rPr>
                <w:rStyle w:val="mord"/>
                <w:rFonts w:ascii="KaTeX_Math" w:hAnsi="KaTeX_Math"/>
                <w:i/>
                <w:iCs/>
              </w:rPr>
              <w:t>X</w:t>
            </w:r>
            <w:r>
              <w:rPr>
                <w:rStyle w:val="mord"/>
                <w:rFonts w:ascii="KaTeX_Math" w:hAnsi="KaTeX_Math"/>
                <w:i/>
                <w:iCs/>
                <w:color w:val="ECECEC"/>
                <w:sz w:val="20"/>
                <w:szCs w:val="20"/>
                <w:shd w:val="clear" w:color="auto" w:fill="212121"/>
              </w:rPr>
              <w:t>t</w:t>
            </w:r>
            <w:proofErr w:type="gramEnd"/>
            <w:r>
              <w:rPr>
                <w:color w:val="ECECEC"/>
                <w:sz w:val="29"/>
                <w:szCs w:val="29"/>
                <w:shd w:val="clear" w:color="auto" w:fill="212121"/>
              </w:rPr>
              <w:br/>
            </w:r>
            <w:r>
              <w:rPr>
                <w:rStyle w:val="mord"/>
                <w:rFonts w:ascii="KaTeX_Math" w:hAnsi="KaTeX_Math"/>
                <w:i/>
                <w:iCs/>
              </w:rPr>
              <w:t>X</w:t>
            </w:r>
            <w:r>
              <w:rPr>
                <w:rStyle w:val="mord"/>
                <w:rFonts w:ascii="KaTeX_Math" w:hAnsi="KaTeX_Math"/>
                <w:i/>
                <w:iCs/>
                <w:sz w:val="17"/>
                <w:szCs w:val="17"/>
              </w:rPr>
              <w:t>t</w:t>
            </w:r>
            <w:r>
              <w:rPr>
                <w:rStyle w:val="vlist-s"/>
                <w:sz w:val="2"/>
                <w:szCs w:val="2"/>
              </w:rPr>
              <w:t>​</w:t>
            </w:r>
            <w:r>
              <w:rPr>
                <w:rStyle w:val="mrel"/>
              </w:rPr>
              <w:t>=</w:t>
            </w:r>
            <w:r>
              <w:rPr>
                <w:rStyle w:val="mord"/>
                <w:rFonts w:ascii="KaTeX_Math" w:hAnsi="KaTeX_Math"/>
                <w:i/>
                <w:iCs/>
              </w:rPr>
              <w:t>μ</w:t>
            </w:r>
            <w:r>
              <w:rPr>
                <w:rStyle w:val="mbin"/>
              </w:rPr>
              <w:t>+</w:t>
            </w:r>
            <w:r>
              <w:rPr>
                <w:rStyle w:val="mord"/>
                <w:rFonts w:ascii="KaTeX_Math" w:hAnsi="KaTeX_Math"/>
                <w:i/>
                <w:iCs/>
              </w:rPr>
              <w:t>θ</w:t>
            </w:r>
            <w:r>
              <w:rPr>
                <w:rStyle w:val="mord"/>
                <w:sz w:val="17"/>
                <w:szCs w:val="17"/>
              </w:rPr>
              <w:t>1</w:t>
            </w:r>
            <w:r>
              <w:rPr>
                <w:rStyle w:val="vlist-s"/>
                <w:sz w:val="2"/>
                <w:szCs w:val="2"/>
              </w:rPr>
              <w:t>​</w:t>
            </w:r>
            <w:r>
              <w:rPr>
                <w:rStyle w:val="mord"/>
                <w:rFonts w:ascii="KaTeX_Math" w:hAnsi="KaTeX_Math"/>
                <w:i/>
                <w:iCs/>
              </w:rPr>
              <w:t>ε</w:t>
            </w:r>
            <w:r>
              <w:rPr>
                <w:rStyle w:val="mord"/>
                <w:rFonts w:ascii="KaTeX_Math" w:hAnsi="KaTeX_Math"/>
                <w:i/>
                <w:iCs/>
                <w:sz w:val="17"/>
                <w:szCs w:val="17"/>
              </w:rPr>
              <w:t>t</w:t>
            </w:r>
            <w:r>
              <w:rPr>
                <w:rStyle w:val="mbin"/>
                <w:sz w:val="17"/>
                <w:szCs w:val="17"/>
              </w:rPr>
              <w:t>−</w:t>
            </w:r>
            <w:r>
              <w:rPr>
                <w:rStyle w:val="mord"/>
                <w:sz w:val="17"/>
                <w:szCs w:val="17"/>
              </w:rPr>
              <w:t>1</w:t>
            </w:r>
            <w:r>
              <w:rPr>
                <w:rStyle w:val="vlist-s"/>
                <w:sz w:val="2"/>
                <w:szCs w:val="2"/>
              </w:rPr>
              <w:t>​</w:t>
            </w:r>
            <w:r>
              <w:rPr>
                <w:rStyle w:val="mbin"/>
              </w:rPr>
              <w:t>+</w:t>
            </w:r>
            <w:r>
              <w:rPr>
                <w:rStyle w:val="mord"/>
                <w:rFonts w:ascii="KaTeX_Math" w:hAnsi="KaTeX_Math"/>
                <w:i/>
                <w:iCs/>
              </w:rPr>
              <w:t>θ</w:t>
            </w:r>
            <w:r>
              <w:rPr>
                <w:rStyle w:val="mord"/>
                <w:sz w:val="17"/>
                <w:szCs w:val="17"/>
              </w:rPr>
              <w:t>2</w:t>
            </w:r>
            <w:r>
              <w:rPr>
                <w:rStyle w:val="vlist-s"/>
                <w:sz w:val="2"/>
                <w:szCs w:val="2"/>
              </w:rPr>
              <w:t>​</w:t>
            </w:r>
            <w:r>
              <w:rPr>
                <w:rStyle w:val="mord"/>
                <w:rFonts w:ascii="KaTeX_Math" w:hAnsi="KaTeX_Math"/>
                <w:i/>
                <w:iCs/>
              </w:rPr>
              <w:t>ε</w:t>
            </w:r>
            <w:r>
              <w:rPr>
                <w:rStyle w:val="mord"/>
                <w:rFonts w:ascii="KaTeX_Math" w:hAnsi="KaTeX_Math"/>
                <w:i/>
                <w:iCs/>
                <w:sz w:val="17"/>
                <w:szCs w:val="17"/>
              </w:rPr>
              <w:t>t</w:t>
            </w:r>
            <w:r>
              <w:rPr>
                <w:rStyle w:val="mbin"/>
                <w:sz w:val="17"/>
                <w:szCs w:val="17"/>
              </w:rPr>
              <w:t>−</w:t>
            </w:r>
            <w:r>
              <w:rPr>
                <w:rStyle w:val="mord"/>
                <w:sz w:val="17"/>
                <w:szCs w:val="17"/>
              </w:rPr>
              <w:t>2</w:t>
            </w:r>
            <w:r>
              <w:rPr>
                <w:rStyle w:val="vlist-s"/>
                <w:sz w:val="2"/>
                <w:szCs w:val="2"/>
              </w:rPr>
              <w:t>​</w:t>
            </w:r>
            <w:r>
              <w:rPr>
                <w:rStyle w:val="mbin"/>
              </w:rPr>
              <w:t>+</w:t>
            </w:r>
            <w:r>
              <w:rPr>
                <w:rStyle w:val="minner"/>
                <w:rFonts w:ascii="Cambria Math" w:hAnsi="Cambria Math" w:cs="Cambria Math"/>
              </w:rPr>
              <w:t>⋯</w:t>
            </w:r>
            <w:r>
              <w:rPr>
                <w:rStyle w:val="mbin"/>
              </w:rPr>
              <w:t>+</w:t>
            </w:r>
            <w:r>
              <w:rPr>
                <w:rStyle w:val="mord"/>
                <w:rFonts w:ascii="KaTeX_Math" w:hAnsi="KaTeX_Math"/>
                <w:i/>
                <w:iCs/>
              </w:rPr>
              <w:t>θ</w:t>
            </w:r>
            <w:r>
              <w:rPr>
                <w:rStyle w:val="mord"/>
                <w:rFonts w:ascii="KaTeX_Math" w:hAnsi="KaTeX_Math"/>
                <w:i/>
                <w:iCs/>
                <w:sz w:val="17"/>
                <w:szCs w:val="17"/>
              </w:rPr>
              <w:t>q</w:t>
            </w:r>
            <w:r>
              <w:rPr>
                <w:rStyle w:val="vlist-s"/>
                <w:sz w:val="2"/>
                <w:szCs w:val="2"/>
              </w:rPr>
              <w:t>​</w:t>
            </w:r>
            <w:r>
              <w:rPr>
                <w:rStyle w:val="mord"/>
                <w:rFonts w:ascii="KaTeX_Math" w:hAnsi="KaTeX_Math"/>
                <w:i/>
                <w:iCs/>
              </w:rPr>
              <w:t>ε</w:t>
            </w:r>
            <w:r>
              <w:rPr>
                <w:rStyle w:val="mord"/>
                <w:rFonts w:ascii="KaTeX_Math" w:hAnsi="KaTeX_Math"/>
                <w:i/>
                <w:iCs/>
                <w:sz w:val="17"/>
                <w:szCs w:val="17"/>
              </w:rPr>
              <w:t>t</w:t>
            </w:r>
            <w:r>
              <w:rPr>
                <w:rStyle w:val="mbin"/>
                <w:sz w:val="17"/>
                <w:szCs w:val="17"/>
              </w:rPr>
              <w:t>−</w:t>
            </w:r>
            <w:r>
              <w:rPr>
                <w:rStyle w:val="mord"/>
                <w:rFonts w:ascii="KaTeX_Math" w:hAnsi="KaTeX_Math"/>
                <w:i/>
                <w:iCs/>
                <w:sz w:val="17"/>
                <w:szCs w:val="17"/>
              </w:rPr>
              <w:t>q</w:t>
            </w:r>
            <w:r>
              <w:rPr>
                <w:rStyle w:val="vlist-s"/>
                <w:sz w:val="2"/>
                <w:szCs w:val="2"/>
              </w:rPr>
              <w:t>​</w:t>
            </w:r>
            <w:r>
              <w:rPr>
                <w:rStyle w:val="mbin"/>
              </w:rPr>
              <w:t>+</w:t>
            </w:r>
            <w:r>
              <w:rPr>
                <w:rStyle w:val="mord"/>
                <w:rFonts w:ascii="KaTeX_Math" w:hAnsi="KaTeX_Math"/>
                <w:i/>
                <w:iCs/>
              </w:rPr>
              <w:t>ε</w:t>
            </w:r>
            <w:r>
              <w:rPr>
                <w:rStyle w:val="mord"/>
                <w:rFonts w:ascii="KaTeX_Math" w:hAnsi="KaTeX_Math"/>
                <w:i/>
                <w:iCs/>
                <w:color w:val="ECECEC"/>
                <w:sz w:val="20"/>
                <w:szCs w:val="20"/>
                <w:shd w:val="clear" w:color="auto" w:fill="212121"/>
              </w:rPr>
              <w:t>t</w:t>
            </w:r>
            <w:r>
              <w:rPr>
                <w:rStyle w:val="vlist-s"/>
                <w:color w:val="ECECEC"/>
                <w:sz w:val="2"/>
                <w:szCs w:val="2"/>
                <w:shd w:val="clear" w:color="auto" w:fill="212121"/>
              </w:rPr>
              <w:t>​</w:t>
            </w:r>
          </w:p>
          <w:p w14:paraId="116AD2A0" w14:textId="48B1A125" w:rsidR="000777D2" w:rsidRPr="000777D2" w:rsidRDefault="000777D2" w:rsidP="0043269A">
            <w:pPr>
              <w:pStyle w:val="whitespace-pre-wrap"/>
              <w:jc w:val="both"/>
              <w:rPr>
                <w:color w:val="ECECEC"/>
                <w:sz w:val="2"/>
                <w:szCs w:val="2"/>
                <w:shd w:val="clear" w:color="auto" w:fill="212121"/>
              </w:rPr>
            </w:pPr>
          </w:p>
        </w:tc>
      </w:tr>
      <w:tr w:rsidR="000777D2" w14:paraId="50C17A26" w14:textId="77777777" w:rsidTr="000777D2">
        <w:tc>
          <w:tcPr>
            <w:tcW w:w="1242" w:type="dxa"/>
          </w:tcPr>
          <w:p w14:paraId="795483B5" w14:textId="6EF4EF78" w:rsidR="000777D2" w:rsidRDefault="000777D2" w:rsidP="0043269A">
            <w:pPr>
              <w:pStyle w:val="whitespace-pre-wrap"/>
              <w:jc w:val="both"/>
              <w:rPr>
                <w:sz w:val="20"/>
                <w:szCs w:val="20"/>
              </w:rPr>
            </w:pPr>
            <w:r>
              <w:rPr>
                <w:sz w:val="20"/>
                <w:szCs w:val="20"/>
              </w:rPr>
              <w:t>Prophet</w:t>
            </w:r>
          </w:p>
        </w:tc>
        <w:tc>
          <w:tcPr>
            <w:tcW w:w="3779" w:type="dxa"/>
          </w:tcPr>
          <w:p w14:paraId="3A4DABB8" w14:textId="5F94F391" w:rsidR="000777D2" w:rsidRDefault="000777D2" w:rsidP="0043269A">
            <w:pPr>
              <w:pStyle w:val="whitespace-pre-wrap"/>
              <w:jc w:val="both"/>
              <w:rPr>
                <w:sz w:val="20"/>
                <w:szCs w:val="20"/>
              </w:rPr>
            </w:pPr>
            <w:r>
              <w:rPr>
                <w:rStyle w:val="mord"/>
                <w:rFonts w:ascii="KaTeX_Math" w:hAnsi="KaTeX_Math"/>
                <w:i/>
                <w:iCs/>
              </w:rPr>
              <w:t>y</w:t>
            </w:r>
            <w:r>
              <w:rPr>
                <w:rStyle w:val="mopen"/>
              </w:rPr>
              <w:t>(</w:t>
            </w:r>
            <w:r>
              <w:rPr>
                <w:rStyle w:val="mord"/>
                <w:rFonts w:ascii="KaTeX_Math" w:hAnsi="KaTeX_Math"/>
                <w:i/>
                <w:iCs/>
              </w:rPr>
              <w:t>t</w:t>
            </w:r>
            <w:r>
              <w:rPr>
                <w:rStyle w:val="mclose"/>
              </w:rPr>
              <w:t>)</w:t>
            </w:r>
            <w:r>
              <w:rPr>
                <w:rStyle w:val="mrel"/>
              </w:rPr>
              <w:t>=</w:t>
            </w:r>
            <w:r>
              <w:rPr>
                <w:rStyle w:val="mord"/>
                <w:rFonts w:ascii="KaTeX_Math" w:hAnsi="KaTeX_Math"/>
                <w:i/>
                <w:iCs/>
              </w:rPr>
              <w:t>g</w:t>
            </w:r>
            <w:r>
              <w:rPr>
                <w:rStyle w:val="mopen"/>
              </w:rPr>
              <w:t>(</w:t>
            </w:r>
            <w:r>
              <w:rPr>
                <w:rStyle w:val="mord"/>
                <w:rFonts w:ascii="KaTeX_Math" w:hAnsi="KaTeX_Math"/>
                <w:i/>
                <w:iCs/>
              </w:rPr>
              <w:t>t</w:t>
            </w:r>
            <w:r>
              <w:rPr>
                <w:rStyle w:val="mclose"/>
              </w:rPr>
              <w:t>)</w:t>
            </w:r>
            <w:r>
              <w:rPr>
                <w:rStyle w:val="mbin"/>
              </w:rPr>
              <w:t>+</w:t>
            </w:r>
            <w:r>
              <w:rPr>
                <w:rStyle w:val="mord"/>
                <w:rFonts w:ascii="KaTeX_Math" w:hAnsi="KaTeX_Math"/>
                <w:i/>
                <w:iCs/>
              </w:rPr>
              <w:t>s</w:t>
            </w:r>
            <w:r>
              <w:rPr>
                <w:rStyle w:val="mopen"/>
              </w:rPr>
              <w:t>(</w:t>
            </w:r>
            <w:r>
              <w:rPr>
                <w:rStyle w:val="mord"/>
                <w:rFonts w:ascii="KaTeX_Math" w:hAnsi="KaTeX_Math"/>
                <w:i/>
                <w:iCs/>
              </w:rPr>
              <w:t>t</w:t>
            </w:r>
            <w:r>
              <w:rPr>
                <w:rStyle w:val="mclose"/>
              </w:rPr>
              <w:t>)</w:t>
            </w:r>
            <w:r>
              <w:rPr>
                <w:rStyle w:val="mbin"/>
              </w:rPr>
              <w:t>+</w:t>
            </w:r>
            <w:r>
              <w:rPr>
                <w:rStyle w:val="mord"/>
                <w:rFonts w:ascii="KaTeX_Math" w:hAnsi="KaTeX_Math"/>
                <w:i/>
                <w:iCs/>
              </w:rPr>
              <w:t>h</w:t>
            </w:r>
            <w:r>
              <w:rPr>
                <w:rStyle w:val="mopen"/>
              </w:rPr>
              <w:t>(</w:t>
            </w:r>
            <w:r>
              <w:rPr>
                <w:rStyle w:val="mord"/>
                <w:rFonts w:ascii="KaTeX_Math" w:hAnsi="KaTeX_Math"/>
                <w:i/>
                <w:iCs/>
              </w:rPr>
              <w:t>t</w:t>
            </w:r>
            <w:r>
              <w:rPr>
                <w:rStyle w:val="mclose"/>
              </w:rPr>
              <w:t>)</w:t>
            </w:r>
            <w:r>
              <w:rPr>
                <w:rStyle w:val="mbin"/>
              </w:rPr>
              <w:t>+</w:t>
            </w:r>
            <w:r>
              <w:rPr>
                <w:rStyle w:val="mord"/>
                <w:rFonts w:ascii="KaTeX_Math" w:hAnsi="KaTeX_Math"/>
                <w:i/>
                <w:iCs/>
              </w:rPr>
              <w:t>ε</w:t>
            </w:r>
            <w:r>
              <w:rPr>
                <w:rStyle w:val="mord"/>
                <w:rFonts w:ascii="KaTeX_Math" w:hAnsi="KaTeX_Math"/>
                <w:i/>
                <w:iCs/>
                <w:color w:val="ECECEC"/>
                <w:sz w:val="20"/>
                <w:szCs w:val="20"/>
                <w:shd w:val="clear" w:color="auto" w:fill="212121"/>
              </w:rPr>
              <w:t>t</w:t>
            </w:r>
            <w:r>
              <w:rPr>
                <w:rStyle w:val="vlist-s"/>
                <w:color w:val="ECECEC"/>
                <w:sz w:val="2"/>
                <w:szCs w:val="2"/>
                <w:shd w:val="clear" w:color="auto" w:fill="212121"/>
              </w:rPr>
              <w:t>​</w:t>
            </w:r>
            <w:r>
              <w:rPr>
                <w:color w:val="ECECEC"/>
                <w:sz w:val="29"/>
                <w:szCs w:val="29"/>
                <w:shd w:val="clear" w:color="auto" w:fill="212121"/>
              </w:rPr>
              <w:br/>
            </w:r>
          </w:p>
        </w:tc>
      </w:tr>
      <w:tr w:rsidR="000777D2" w14:paraId="759D61B9" w14:textId="77777777" w:rsidTr="000777D2">
        <w:tc>
          <w:tcPr>
            <w:tcW w:w="1242" w:type="dxa"/>
          </w:tcPr>
          <w:p w14:paraId="70915E91" w14:textId="2C55C7D7" w:rsidR="000777D2" w:rsidRDefault="007F7EA0" w:rsidP="0043269A">
            <w:pPr>
              <w:pStyle w:val="whitespace-pre-wrap"/>
              <w:jc w:val="both"/>
              <w:rPr>
                <w:sz w:val="20"/>
                <w:szCs w:val="20"/>
              </w:rPr>
            </w:pPr>
            <w:r>
              <w:rPr>
                <w:sz w:val="20"/>
                <w:szCs w:val="20"/>
              </w:rPr>
              <w:t>VAR</w:t>
            </w:r>
          </w:p>
        </w:tc>
        <w:tc>
          <w:tcPr>
            <w:tcW w:w="3779" w:type="dxa"/>
          </w:tcPr>
          <w:p w14:paraId="13E5E560" w14:textId="2B1F355D" w:rsidR="000777D2" w:rsidRDefault="000777D2" w:rsidP="0043269A">
            <w:pPr>
              <w:pStyle w:val="whitespace-pre-wrap"/>
              <w:jc w:val="both"/>
              <w:rPr>
                <w:sz w:val="20"/>
                <w:szCs w:val="20"/>
              </w:rPr>
            </w:pPr>
            <w:r>
              <w:rPr>
                <w:rStyle w:val="mord"/>
                <w:rFonts w:ascii="KaTeX_Math" w:hAnsi="KaTeX_Math"/>
                <w:i/>
                <w:iCs/>
              </w:rPr>
              <w:t>y</w:t>
            </w:r>
            <w:r>
              <w:rPr>
                <w:rStyle w:val="mord"/>
                <w:rFonts w:ascii="KaTeX_Math" w:hAnsi="KaTeX_Math"/>
                <w:i/>
                <w:iCs/>
                <w:sz w:val="17"/>
                <w:szCs w:val="17"/>
              </w:rPr>
              <w:t>t</w:t>
            </w:r>
            <w:r>
              <w:rPr>
                <w:rStyle w:val="vlist-s"/>
                <w:sz w:val="2"/>
                <w:szCs w:val="2"/>
              </w:rPr>
              <w:t>​</w:t>
            </w:r>
            <w:r>
              <w:rPr>
                <w:rStyle w:val="mrel"/>
              </w:rPr>
              <w:t>=</w:t>
            </w:r>
            <w:r>
              <w:rPr>
                <w:rStyle w:val="mord"/>
                <w:rFonts w:ascii="KaTeX_Math" w:hAnsi="KaTeX_Math"/>
                <w:i/>
                <w:iCs/>
              </w:rPr>
              <w:t>c</w:t>
            </w:r>
            <w:r>
              <w:rPr>
                <w:rStyle w:val="mbin"/>
              </w:rPr>
              <w:t>+</w:t>
            </w:r>
            <w:r>
              <w:rPr>
                <w:rStyle w:val="mord"/>
                <w:rFonts w:ascii="KaTeX_Math" w:hAnsi="KaTeX_Math"/>
                <w:i/>
                <w:iCs/>
              </w:rPr>
              <w:t>A</w:t>
            </w:r>
            <w:r>
              <w:rPr>
                <w:rStyle w:val="mord"/>
                <w:sz w:val="17"/>
                <w:szCs w:val="17"/>
              </w:rPr>
              <w:t>1</w:t>
            </w:r>
            <w:r>
              <w:rPr>
                <w:rStyle w:val="vlist-s"/>
                <w:sz w:val="2"/>
                <w:szCs w:val="2"/>
              </w:rPr>
              <w:t>​</w:t>
            </w:r>
            <w:r>
              <w:rPr>
                <w:rStyle w:val="mord"/>
                <w:rFonts w:ascii="KaTeX_Math" w:hAnsi="KaTeX_Math"/>
                <w:i/>
                <w:iCs/>
              </w:rPr>
              <w:t>y</w:t>
            </w:r>
            <w:r>
              <w:rPr>
                <w:rStyle w:val="mord"/>
                <w:rFonts w:ascii="KaTeX_Math" w:hAnsi="KaTeX_Math"/>
                <w:i/>
                <w:iCs/>
                <w:sz w:val="17"/>
                <w:szCs w:val="17"/>
              </w:rPr>
              <w:t>t</w:t>
            </w:r>
            <w:r>
              <w:rPr>
                <w:rStyle w:val="mbin"/>
                <w:sz w:val="17"/>
                <w:szCs w:val="17"/>
              </w:rPr>
              <w:t>−</w:t>
            </w:r>
            <w:r>
              <w:rPr>
                <w:rStyle w:val="mord"/>
                <w:sz w:val="17"/>
                <w:szCs w:val="17"/>
              </w:rPr>
              <w:t>1</w:t>
            </w:r>
            <w:r>
              <w:rPr>
                <w:rStyle w:val="vlist-s"/>
                <w:sz w:val="2"/>
                <w:szCs w:val="2"/>
              </w:rPr>
              <w:t>​</w:t>
            </w:r>
            <w:r>
              <w:rPr>
                <w:rStyle w:val="mbin"/>
              </w:rPr>
              <w:t>+</w:t>
            </w:r>
            <w:r>
              <w:rPr>
                <w:rStyle w:val="mord"/>
                <w:rFonts w:ascii="KaTeX_Math" w:hAnsi="KaTeX_Math"/>
                <w:i/>
                <w:iCs/>
              </w:rPr>
              <w:t>A</w:t>
            </w:r>
            <w:r>
              <w:rPr>
                <w:rStyle w:val="mord"/>
                <w:sz w:val="17"/>
                <w:szCs w:val="17"/>
              </w:rPr>
              <w:t>2</w:t>
            </w:r>
            <w:r>
              <w:rPr>
                <w:rStyle w:val="vlist-s"/>
                <w:sz w:val="2"/>
                <w:szCs w:val="2"/>
              </w:rPr>
              <w:t>​</w:t>
            </w:r>
            <w:r>
              <w:rPr>
                <w:rStyle w:val="mord"/>
                <w:rFonts w:ascii="KaTeX_Math" w:hAnsi="KaTeX_Math"/>
                <w:i/>
                <w:iCs/>
              </w:rPr>
              <w:t>y</w:t>
            </w:r>
            <w:r>
              <w:rPr>
                <w:rStyle w:val="mord"/>
                <w:rFonts w:ascii="KaTeX_Math" w:hAnsi="KaTeX_Math"/>
                <w:i/>
                <w:iCs/>
                <w:sz w:val="17"/>
                <w:szCs w:val="17"/>
              </w:rPr>
              <w:t>t</w:t>
            </w:r>
            <w:r>
              <w:rPr>
                <w:rStyle w:val="mbin"/>
                <w:sz w:val="17"/>
                <w:szCs w:val="17"/>
              </w:rPr>
              <w:t>−</w:t>
            </w:r>
            <w:r>
              <w:rPr>
                <w:rStyle w:val="mord"/>
                <w:sz w:val="17"/>
                <w:szCs w:val="17"/>
              </w:rPr>
              <w:t>2</w:t>
            </w:r>
            <w:r>
              <w:rPr>
                <w:rStyle w:val="vlist-s"/>
                <w:sz w:val="2"/>
                <w:szCs w:val="2"/>
              </w:rPr>
              <w:t>​</w:t>
            </w:r>
            <w:r>
              <w:rPr>
                <w:rStyle w:val="mbin"/>
              </w:rPr>
              <w:t>+</w:t>
            </w:r>
            <w:r>
              <w:rPr>
                <w:rStyle w:val="minner"/>
                <w:rFonts w:ascii="Cambria Math" w:hAnsi="Cambria Math" w:cs="Cambria Math"/>
              </w:rPr>
              <w:t>⋯</w:t>
            </w:r>
            <w:r>
              <w:rPr>
                <w:rStyle w:val="mbin"/>
              </w:rPr>
              <w:t>+</w:t>
            </w:r>
            <w:r>
              <w:rPr>
                <w:rStyle w:val="mord"/>
                <w:rFonts w:ascii="KaTeX_Math" w:hAnsi="KaTeX_Math"/>
                <w:i/>
                <w:iCs/>
              </w:rPr>
              <w:t>A</w:t>
            </w:r>
            <w:r>
              <w:rPr>
                <w:rStyle w:val="mord"/>
                <w:rFonts w:ascii="KaTeX_Math" w:hAnsi="KaTeX_Math"/>
                <w:i/>
                <w:iCs/>
                <w:sz w:val="17"/>
                <w:szCs w:val="17"/>
              </w:rPr>
              <w:t>p</w:t>
            </w:r>
            <w:r>
              <w:rPr>
                <w:rStyle w:val="vlist-s"/>
                <w:sz w:val="2"/>
                <w:szCs w:val="2"/>
              </w:rPr>
              <w:t>​</w:t>
            </w:r>
            <w:r>
              <w:rPr>
                <w:rStyle w:val="mord"/>
                <w:rFonts w:ascii="KaTeX_Math" w:hAnsi="KaTeX_Math"/>
                <w:i/>
                <w:iCs/>
              </w:rPr>
              <w:t>y</w:t>
            </w:r>
            <w:r>
              <w:rPr>
                <w:rStyle w:val="mord"/>
                <w:rFonts w:ascii="KaTeX_Math" w:hAnsi="KaTeX_Math"/>
                <w:i/>
                <w:iCs/>
                <w:sz w:val="17"/>
                <w:szCs w:val="17"/>
              </w:rPr>
              <w:t>t</w:t>
            </w:r>
            <w:r>
              <w:rPr>
                <w:rStyle w:val="mbin"/>
                <w:sz w:val="17"/>
                <w:szCs w:val="17"/>
              </w:rPr>
              <w:t>−</w:t>
            </w:r>
            <w:r>
              <w:rPr>
                <w:rStyle w:val="mord"/>
                <w:rFonts w:ascii="KaTeX_Math" w:hAnsi="KaTeX_Math"/>
                <w:i/>
                <w:iCs/>
                <w:sz w:val="17"/>
                <w:szCs w:val="17"/>
              </w:rPr>
              <w:t>p</w:t>
            </w:r>
            <w:r>
              <w:rPr>
                <w:rStyle w:val="vlist-s"/>
                <w:sz w:val="2"/>
                <w:szCs w:val="2"/>
              </w:rPr>
              <w:t>​</w:t>
            </w:r>
            <w:r>
              <w:rPr>
                <w:rStyle w:val="mbin"/>
              </w:rPr>
              <w:t>+</w:t>
            </w:r>
            <w:r>
              <w:rPr>
                <w:rStyle w:val="mord"/>
                <w:rFonts w:ascii="KaTeX_Math" w:hAnsi="KaTeX_Math"/>
                <w:i/>
                <w:iCs/>
              </w:rPr>
              <w:t>ε</w:t>
            </w:r>
            <w:r>
              <w:rPr>
                <w:rStyle w:val="mord"/>
                <w:rFonts w:ascii="KaTeX_Math" w:hAnsi="KaTeX_Math"/>
                <w:i/>
                <w:iCs/>
                <w:color w:val="ECECEC"/>
                <w:sz w:val="20"/>
                <w:szCs w:val="20"/>
                <w:shd w:val="clear" w:color="auto" w:fill="212121"/>
              </w:rPr>
              <w:t>t</w:t>
            </w:r>
            <w:r>
              <w:rPr>
                <w:rStyle w:val="vlist-s"/>
                <w:color w:val="ECECEC"/>
                <w:sz w:val="2"/>
                <w:szCs w:val="2"/>
                <w:shd w:val="clear" w:color="auto" w:fill="212121"/>
              </w:rPr>
              <w:t>​</w:t>
            </w:r>
            <w:r>
              <w:rPr>
                <w:color w:val="ECECEC"/>
                <w:sz w:val="29"/>
                <w:szCs w:val="29"/>
                <w:shd w:val="clear" w:color="auto" w:fill="212121"/>
              </w:rPr>
              <w:br/>
            </w:r>
          </w:p>
        </w:tc>
      </w:tr>
      <w:tr w:rsidR="000777D2" w14:paraId="2CC37A8A" w14:textId="77777777" w:rsidTr="000777D2">
        <w:tc>
          <w:tcPr>
            <w:tcW w:w="1242" w:type="dxa"/>
          </w:tcPr>
          <w:p w14:paraId="121FF77A" w14:textId="34BA0371" w:rsidR="000777D2" w:rsidRDefault="007F7EA0" w:rsidP="0043269A">
            <w:pPr>
              <w:pStyle w:val="whitespace-pre-wrap"/>
              <w:jc w:val="both"/>
              <w:rPr>
                <w:sz w:val="20"/>
                <w:szCs w:val="20"/>
              </w:rPr>
            </w:pPr>
            <w:r>
              <w:rPr>
                <w:sz w:val="20"/>
                <w:szCs w:val="20"/>
              </w:rPr>
              <w:t>LSTM</w:t>
            </w:r>
          </w:p>
        </w:tc>
        <w:tc>
          <w:tcPr>
            <w:tcW w:w="3779" w:type="dxa"/>
          </w:tcPr>
          <w:p w14:paraId="6F65BAFD" w14:textId="17494621" w:rsidR="000777D2" w:rsidRPr="007F7EA0" w:rsidRDefault="007F7EA0" w:rsidP="0043269A">
            <w:pPr>
              <w:pStyle w:val="whitespace-pre-wrap"/>
              <w:jc w:val="both"/>
              <w:rPr>
                <w:sz w:val="22"/>
                <w:szCs w:val="22"/>
              </w:rPr>
            </w:pPr>
            <w:r w:rsidRPr="007F7EA0">
              <w:rPr>
                <w:sz w:val="22"/>
                <w:szCs w:val="22"/>
              </w:rPr>
              <w:t>ct​=ft​</w:t>
            </w:r>
            <w:r w:rsidRPr="007F7EA0">
              <w:rPr>
                <w:rFonts w:ascii="Cambria Math" w:hAnsi="Cambria Math" w:cs="Cambria Math"/>
                <w:sz w:val="22"/>
                <w:szCs w:val="22"/>
              </w:rPr>
              <w:t>⊙</w:t>
            </w:r>
            <w:r w:rsidRPr="007F7EA0">
              <w:rPr>
                <w:sz w:val="22"/>
                <w:szCs w:val="22"/>
              </w:rPr>
              <w:t>ct−1​+it​</w:t>
            </w:r>
            <w:r w:rsidRPr="007F7EA0">
              <w:rPr>
                <w:rFonts w:ascii="Cambria Math" w:hAnsi="Cambria Math" w:cs="Cambria Math"/>
                <w:sz w:val="22"/>
                <w:szCs w:val="22"/>
              </w:rPr>
              <w:t>⊙</w:t>
            </w:r>
            <w:proofErr w:type="gramStart"/>
            <w:r w:rsidRPr="007F7EA0">
              <w:rPr>
                <w:sz w:val="22"/>
                <w:szCs w:val="22"/>
              </w:rPr>
              <w:t>tanh(</w:t>
            </w:r>
            <w:proofErr w:type="gramEnd"/>
            <w:r w:rsidRPr="007F7EA0">
              <w:rPr>
                <w:sz w:val="22"/>
                <w:szCs w:val="22"/>
              </w:rPr>
              <w:t>Wc​</w:t>
            </w:r>
            <w:r w:rsidRPr="007F7EA0">
              <w:rPr>
                <w:rFonts w:ascii="Cambria Math" w:hAnsi="Cambria Math" w:cs="Cambria Math"/>
                <w:sz w:val="22"/>
                <w:szCs w:val="22"/>
              </w:rPr>
              <w:t>⋅</w:t>
            </w:r>
            <w:r w:rsidRPr="007F7EA0">
              <w:rPr>
                <w:sz w:val="22"/>
                <w:szCs w:val="22"/>
              </w:rPr>
              <w:t>[ht−1​,xt​]+bc​)</w:t>
            </w:r>
          </w:p>
        </w:tc>
      </w:tr>
    </w:tbl>
    <w:p w14:paraId="789E9F48" w14:textId="77777777" w:rsidR="00F3273B" w:rsidRDefault="00F3273B" w:rsidP="0043269A">
      <w:pPr>
        <w:widowControl/>
        <w:autoSpaceDE/>
        <w:autoSpaceDN/>
        <w:jc w:val="both"/>
        <w:rPr>
          <w:color w:val="000000"/>
          <w:sz w:val="24"/>
          <w:szCs w:val="24"/>
          <w:lang w:val="en-IN" w:eastAsia="en-IN"/>
        </w:rPr>
      </w:pPr>
    </w:p>
    <w:p w14:paraId="7008AC73" w14:textId="0FB50970" w:rsidR="00F3273B" w:rsidRDefault="00F3273B" w:rsidP="0043269A">
      <w:pPr>
        <w:pStyle w:val="NormalWeb"/>
        <w:numPr>
          <w:ilvl w:val="0"/>
          <w:numId w:val="10"/>
        </w:numPr>
        <w:spacing w:before="0" w:beforeAutospacing="0" w:after="0" w:afterAutospacing="0"/>
        <w:jc w:val="both"/>
        <w:rPr>
          <w:color w:val="000000"/>
          <w:sz w:val="20"/>
          <w:szCs w:val="20"/>
        </w:rPr>
      </w:pPr>
      <w:r w:rsidRPr="00F3273B">
        <w:rPr>
          <w:color w:val="000000"/>
          <w:sz w:val="20"/>
          <w:szCs w:val="20"/>
        </w:rPr>
        <w:t>Result and discussion:</w:t>
      </w:r>
    </w:p>
    <w:p w14:paraId="77AC8D5A" w14:textId="77777777" w:rsidR="002823E3" w:rsidRDefault="002823E3" w:rsidP="0043269A">
      <w:pPr>
        <w:pStyle w:val="NormalWeb"/>
        <w:spacing w:before="0" w:beforeAutospacing="0" w:after="0" w:afterAutospacing="0"/>
        <w:ind w:left="2057"/>
        <w:jc w:val="both"/>
        <w:rPr>
          <w:color w:val="000000"/>
          <w:sz w:val="20"/>
          <w:szCs w:val="20"/>
        </w:rPr>
      </w:pPr>
    </w:p>
    <w:p w14:paraId="006C3F69" w14:textId="44CE0723" w:rsidR="0010676F" w:rsidRDefault="002823E3" w:rsidP="0043269A">
      <w:pPr>
        <w:pStyle w:val="NormalWeb"/>
        <w:spacing w:before="0" w:beforeAutospacing="0" w:after="0" w:afterAutospacing="0"/>
        <w:jc w:val="both"/>
        <w:rPr>
          <w:color w:val="000000"/>
          <w:sz w:val="20"/>
          <w:szCs w:val="20"/>
        </w:rPr>
      </w:pPr>
      <w:r w:rsidRPr="002823E3">
        <w:rPr>
          <w:color w:val="000000"/>
          <w:sz w:val="20"/>
          <w:szCs w:val="20"/>
        </w:rPr>
        <w:t>In this section, we delve into the comparative analysis and discussion of four distinct models—ARIMA, Prophet, LSTM, and VAR—utilized for predicting Air Quality Index (AQI) values. These models were evaluated based on their performance in terms of test losses and the stability and trend of their predictions for PM2.5, CO, Ozone, and NO2 AQI values. The objective was to identify the most effective model for AQI value prediction, considering the inherent variability and complexity of atmospheric conditions. The analysis reveals insights into the strengths and limitations of each model, providing a foundation for further research and application in environmental monitoring and air quality management.</w:t>
      </w:r>
    </w:p>
    <w:p w14:paraId="7D860C5B" w14:textId="77777777" w:rsidR="0010676F" w:rsidRPr="002823E3" w:rsidRDefault="0010676F" w:rsidP="0043269A">
      <w:pPr>
        <w:pStyle w:val="whitespace-pre-wrap"/>
        <w:jc w:val="both"/>
        <w:rPr>
          <w:sz w:val="20"/>
          <w:szCs w:val="20"/>
        </w:rPr>
      </w:pPr>
      <w:r w:rsidRPr="002823E3">
        <w:rPr>
          <w:sz w:val="20"/>
          <w:szCs w:val="20"/>
        </w:rPr>
        <w:t xml:space="preserve">A. ARIMA Model </w:t>
      </w:r>
      <w:proofErr w:type="gramStart"/>
      <w:r w:rsidRPr="002823E3">
        <w:rPr>
          <w:sz w:val="20"/>
          <w:szCs w:val="20"/>
        </w:rPr>
        <w:t>The</w:t>
      </w:r>
      <w:proofErr w:type="gramEnd"/>
      <w:r w:rsidRPr="002823E3">
        <w:rPr>
          <w:sz w:val="20"/>
          <w:szCs w:val="20"/>
        </w:rPr>
        <w:t xml:space="preserve"> Autoregressive Integrated Moving Average (ARIMA) model exhibited moderate performance in forecasting the various air quality index (AQI) values. The test losses were 37.47 for PM2.5 AQI, 0.84 for CO AQI, 16.50 for Ozone AQI, and 3.12 for NO2 AQI. The ARIMA model's predictions remained constant over the forecast horizon, suggesting limitations in capturing temporal variations or trends in the data.</w:t>
      </w:r>
    </w:p>
    <w:p w14:paraId="1A94F5F9" w14:textId="77777777" w:rsidR="0010676F" w:rsidRPr="002823E3" w:rsidRDefault="0010676F" w:rsidP="0043269A">
      <w:pPr>
        <w:pStyle w:val="whitespace-pre-wrap"/>
        <w:jc w:val="both"/>
        <w:rPr>
          <w:sz w:val="20"/>
          <w:szCs w:val="20"/>
        </w:rPr>
      </w:pPr>
      <w:r w:rsidRPr="002823E3">
        <w:rPr>
          <w:sz w:val="20"/>
          <w:szCs w:val="20"/>
        </w:rPr>
        <w:t xml:space="preserve">B. Prophet Model </w:t>
      </w:r>
      <w:proofErr w:type="gramStart"/>
      <w:r w:rsidRPr="002823E3">
        <w:rPr>
          <w:sz w:val="20"/>
          <w:szCs w:val="20"/>
        </w:rPr>
        <w:t>The</w:t>
      </w:r>
      <w:proofErr w:type="gramEnd"/>
      <w:r w:rsidRPr="002823E3">
        <w:rPr>
          <w:sz w:val="20"/>
          <w:szCs w:val="20"/>
        </w:rPr>
        <w:t xml:space="preserve"> Prophet model, designed for time series forecasting, demonstrated promising results. It achieved relatively </w:t>
      </w:r>
      <w:proofErr w:type="gramStart"/>
      <w:r w:rsidRPr="002823E3">
        <w:rPr>
          <w:sz w:val="20"/>
          <w:szCs w:val="20"/>
        </w:rPr>
        <w:t>low test</w:t>
      </w:r>
      <w:proofErr w:type="gramEnd"/>
      <w:r w:rsidRPr="002823E3">
        <w:rPr>
          <w:sz w:val="20"/>
          <w:szCs w:val="20"/>
        </w:rPr>
        <w:t xml:space="preserve"> losses of 35.98 for PM2.5 AQI, 0.88 for CO AQI, 16.51 for Ozone AQI, and 3.33 for NO2 AQI. The model's predictions exhibited temporal variations, reflecting its ability to capture seasonal patterns and trends in the data.</w:t>
      </w:r>
    </w:p>
    <w:p w14:paraId="5FAD0F1F" w14:textId="77777777" w:rsidR="0010676F" w:rsidRPr="002823E3" w:rsidRDefault="0010676F" w:rsidP="0043269A">
      <w:pPr>
        <w:pStyle w:val="whitespace-pre-wrap"/>
        <w:jc w:val="both"/>
        <w:rPr>
          <w:sz w:val="20"/>
          <w:szCs w:val="20"/>
        </w:rPr>
      </w:pPr>
      <w:r w:rsidRPr="002823E3">
        <w:rPr>
          <w:sz w:val="20"/>
          <w:szCs w:val="20"/>
        </w:rPr>
        <w:t xml:space="preserve">C. LSTM Model </w:t>
      </w:r>
      <w:proofErr w:type="gramStart"/>
      <w:r w:rsidRPr="002823E3">
        <w:rPr>
          <w:sz w:val="20"/>
          <w:szCs w:val="20"/>
        </w:rPr>
        <w:t>The</w:t>
      </w:r>
      <w:proofErr w:type="gramEnd"/>
      <w:r w:rsidRPr="002823E3">
        <w:rPr>
          <w:sz w:val="20"/>
          <w:szCs w:val="20"/>
        </w:rPr>
        <w:t xml:space="preserve"> Long Short-Term Memory (LSTM) model, a type of recurrent neural network, exhibited the poorest performance among the evaluated models. It incurred extremely </w:t>
      </w:r>
      <w:proofErr w:type="gramStart"/>
      <w:r w:rsidRPr="002823E3">
        <w:rPr>
          <w:sz w:val="20"/>
          <w:szCs w:val="20"/>
        </w:rPr>
        <w:t>high test</w:t>
      </w:r>
      <w:proofErr w:type="gramEnd"/>
      <w:r w:rsidRPr="002823E3">
        <w:rPr>
          <w:sz w:val="20"/>
          <w:szCs w:val="20"/>
        </w:rPr>
        <w:t xml:space="preserve"> losses, ranging from 33567.35 for PM2.5 AQI to 8346.59 for Ozone AQI. The LSTM model's predictions were highly erratic and deviated significantly from the expected range of AQI values, indicating potential overfitting or convergence issues during training.</w:t>
      </w:r>
    </w:p>
    <w:p w14:paraId="4E076800" w14:textId="4744FAA5" w:rsidR="0043269A" w:rsidRDefault="0010676F" w:rsidP="0043269A">
      <w:pPr>
        <w:pStyle w:val="whitespace-pre-wrap"/>
        <w:jc w:val="both"/>
        <w:rPr>
          <w:sz w:val="20"/>
          <w:szCs w:val="20"/>
        </w:rPr>
      </w:pPr>
      <w:r w:rsidRPr="002823E3">
        <w:rPr>
          <w:sz w:val="20"/>
          <w:szCs w:val="20"/>
        </w:rPr>
        <w:t xml:space="preserve">D. VAR Model </w:t>
      </w:r>
      <w:proofErr w:type="gramStart"/>
      <w:r w:rsidRPr="002823E3">
        <w:rPr>
          <w:sz w:val="20"/>
          <w:szCs w:val="20"/>
        </w:rPr>
        <w:t>The</w:t>
      </w:r>
      <w:proofErr w:type="gramEnd"/>
      <w:r w:rsidRPr="002823E3">
        <w:rPr>
          <w:sz w:val="20"/>
          <w:szCs w:val="20"/>
        </w:rPr>
        <w:t xml:space="preserve"> Vector Autoregressive (VAR) model demonstrated comparable performance to the ARIMA and Prophet models. It achieved test losses of 36.80 for PM2.5 AQI, 0.84 for CO AQI, 16.40 for Ozone AQI, and 3.19 for NO2 AQI. Like the ARIMA model, the VAR model's predictions remained constant over the forecast horizon, suggesting limitations in capturing temporal variations.</w:t>
      </w:r>
    </w:p>
    <w:p w14:paraId="295915C8" w14:textId="0E3E1060" w:rsidR="0043269A" w:rsidRPr="002823E3" w:rsidRDefault="0043269A" w:rsidP="00C01DB0">
      <w:pPr>
        <w:pStyle w:val="whitespace-pre-wrap"/>
        <w:jc w:val="both"/>
        <w:rPr>
          <w:sz w:val="20"/>
          <w:szCs w:val="20"/>
        </w:rPr>
      </w:pPr>
      <w:r w:rsidRPr="0043269A">
        <w:rPr>
          <w:sz w:val="20"/>
          <w:szCs w:val="20"/>
        </w:rPr>
        <w:t>Through these methodologies, the research paper aims to provide comprehensive insights into air quality dynamics, facilitating informed decision-making for environmental sustainability initiatives. By leveraging the strengths of each approach, the study contributes to a deeper understanding of air quality dynamics and promotes effective strategies for mitigating environmental impact and fostering sustainable development.</w:t>
      </w:r>
    </w:p>
    <w:tbl>
      <w:tblPr>
        <w:tblStyle w:val="TableGrid"/>
        <w:tblW w:w="4805" w:type="dxa"/>
        <w:tblLook w:val="04A0" w:firstRow="1" w:lastRow="0" w:firstColumn="1" w:lastColumn="0" w:noHBand="0" w:noVBand="1"/>
      </w:tblPr>
      <w:tblGrid>
        <w:gridCol w:w="2402"/>
        <w:gridCol w:w="2403"/>
      </w:tblGrid>
      <w:tr w:rsidR="00BD7835" w14:paraId="0947C3CB" w14:textId="77777777" w:rsidTr="00BD7835">
        <w:trPr>
          <w:trHeight w:val="410"/>
        </w:trPr>
        <w:tc>
          <w:tcPr>
            <w:tcW w:w="2402" w:type="dxa"/>
          </w:tcPr>
          <w:p w14:paraId="4649EDE3" w14:textId="680B0AE8" w:rsidR="00BD7835" w:rsidRDefault="00BD7835" w:rsidP="00C01DB0">
            <w:pPr>
              <w:pStyle w:val="NormalWeb"/>
              <w:spacing w:before="0" w:beforeAutospacing="0" w:after="0" w:afterAutospacing="0"/>
              <w:jc w:val="center"/>
              <w:rPr>
                <w:color w:val="000000"/>
                <w:sz w:val="20"/>
                <w:szCs w:val="20"/>
              </w:rPr>
            </w:pPr>
            <w:r>
              <w:rPr>
                <w:color w:val="000000"/>
                <w:sz w:val="20"/>
                <w:szCs w:val="20"/>
              </w:rPr>
              <w:t>MODEL NAME</w:t>
            </w:r>
          </w:p>
        </w:tc>
        <w:tc>
          <w:tcPr>
            <w:tcW w:w="2403" w:type="dxa"/>
          </w:tcPr>
          <w:p w14:paraId="1D3805EB" w14:textId="2A5E2DEF" w:rsidR="00BD7835" w:rsidRDefault="00BD7835" w:rsidP="00C01DB0">
            <w:pPr>
              <w:pStyle w:val="NormalWeb"/>
              <w:spacing w:before="0" w:beforeAutospacing="0" w:after="0" w:afterAutospacing="0"/>
              <w:jc w:val="center"/>
              <w:rPr>
                <w:color w:val="000000"/>
                <w:sz w:val="20"/>
                <w:szCs w:val="20"/>
              </w:rPr>
            </w:pPr>
            <w:r>
              <w:rPr>
                <w:color w:val="000000"/>
                <w:sz w:val="20"/>
                <w:szCs w:val="20"/>
              </w:rPr>
              <w:t>RMSE VALUE</w:t>
            </w:r>
          </w:p>
        </w:tc>
      </w:tr>
      <w:tr w:rsidR="00BD7835" w14:paraId="6CC9A454" w14:textId="77777777" w:rsidTr="00BD7835">
        <w:trPr>
          <w:trHeight w:val="410"/>
        </w:trPr>
        <w:tc>
          <w:tcPr>
            <w:tcW w:w="2402" w:type="dxa"/>
          </w:tcPr>
          <w:p w14:paraId="212EF7CC" w14:textId="76D4C3C6" w:rsidR="00BD7835" w:rsidRDefault="00BD7835" w:rsidP="00C01DB0">
            <w:pPr>
              <w:pStyle w:val="NormalWeb"/>
              <w:spacing w:before="0" w:beforeAutospacing="0" w:after="0" w:afterAutospacing="0"/>
              <w:jc w:val="center"/>
              <w:rPr>
                <w:color w:val="000000"/>
                <w:sz w:val="20"/>
                <w:szCs w:val="20"/>
              </w:rPr>
            </w:pPr>
            <w:r>
              <w:rPr>
                <w:color w:val="000000"/>
                <w:sz w:val="20"/>
                <w:szCs w:val="20"/>
              </w:rPr>
              <w:t>ARIMA</w:t>
            </w:r>
          </w:p>
        </w:tc>
        <w:tc>
          <w:tcPr>
            <w:tcW w:w="2403" w:type="dxa"/>
          </w:tcPr>
          <w:p w14:paraId="21E517AA" w14:textId="40861C9E" w:rsidR="00BD7835" w:rsidRDefault="00C01DB0" w:rsidP="00C01DB0">
            <w:pPr>
              <w:pStyle w:val="NormalWeb"/>
              <w:spacing w:before="0" w:beforeAutospacing="0" w:after="0" w:afterAutospacing="0"/>
              <w:jc w:val="center"/>
              <w:rPr>
                <w:color w:val="000000"/>
                <w:sz w:val="20"/>
                <w:szCs w:val="20"/>
              </w:rPr>
            </w:pPr>
            <w:r>
              <w:rPr>
                <w:color w:val="000000"/>
                <w:sz w:val="20"/>
                <w:szCs w:val="20"/>
              </w:rPr>
              <w:t>83.34</w:t>
            </w:r>
          </w:p>
        </w:tc>
      </w:tr>
      <w:tr w:rsidR="00BD7835" w14:paraId="56CC20AE" w14:textId="77777777" w:rsidTr="00BD7835">
        <w:trPr>
          <w:trHeight w:val="410"/>
        </w:trPr>
        <w:tc>
          <w:tcPr>
            <w:tcW w:w="2402" w:type="dxa"/>
          </w:tcPr>
          <w:p w14:paraId="0EB226FA" w14:textId="346F3575" w:rsidR="00BD7835" w:rsidRDefault="00BD7835" w:rsidP="00C01DB0">
            <w:pPr>
              <w:pStyle w:val="NormalWeb"/>
              <w:spacing w:before="0" w:beforeAutospacing="0" w:after="0" w:afterAutospacing="0"/>
              <w:jc w:val="center"/>
              <w:rPr>
                <w:color w:val="000000"/>
                <w:sz w:val="20"/>
                <w:szCs w:val="20"/>
              </w:rPr>
            </w:pPr>
            <w:r>
              <w:rPr>
                <w:color w:val="000000"/>
                <w:sz w:val="20"/>
                <w:szCs w:val="20"/>
              </w:rPr>
              <w:t>PROPHET</w:t>
            </w:r>
          </w:p>
        </w:tc>
        <w:tc>
          <w:tcPr>
            <w:tcW w:w="2403" w:type="dxa"/>
          </w:tcPr>
          <w:p w14:paraId="638DED0E" w14:textId="68AA5DD4" w:rsidR="00BD7835" w:rsidRDefault="00C01DB0" w:rsidP="00C01DB0">
            <w:pPr>
              <w:pStyle w:val="NormalWeb"/>
              <w:spacing w:before="0" w:beforeAutospacing="0" w:after="0" w:afterAutospacing="0"/>
              <w:jc w:val="center"/>
              <w:rPr>
                <w:color w:val="000000"/>
                <w:sz w:val="20"/>
                <w:szCs w:val="20"/>
              </w:rPr>
            </w:pPr>
            <w:r>
              <w:rPr>
                <w:color w:val="000000"/>
                <w:sz w:val="20"/>
                <w:szCs w:val="20"/>
              </w:rPr>
              <w:t>152.7</w:t>
            </w:r>
          </w:p>
        </w:tc>
      </w:tr>
      <w:tr w:rsidR="00BD7835" w14:paraId="7364678B" w14:textId="77777777" w:rsidTr="00BD7835">
        <w:trPr>
          <w:trHeight w:val="410"/>
        </w:trPr>
        <w:tc>
          <w:tcPr>
            <w:tcW w:w="2402" w:type="dxa"/>
          </w:tcPr>
          <w:p w14:paraId="700E90F2" w14:textId="6E661C18" w:rsidR="00BD7835" w:rsidRDefault="00BD7835" w:rsidP="00C01DB0">
            <w:pPr>
              <w:pStyle w:val="NormalWeb"/>
              <w:spacing w:before="0" w:beforeAutospacing="0" w:after="0" w:afterAutospacing="0"/>
              <w:jc w:val="center"/>
              <w:rPr>
                <w:color w:val="000000"/>
                <w:sz w:val="20"/>
                <w:szCs w:val="20"/>
              </w:rPr>
            </w:pPr>
            <w:r>
              <w:rPr>
                <w:color w:val="000000"/>
                <w:sz w:val="20"/>
                <w:szCs w:val="20"/>
              </w:rPr>
              <w:t>LSTM</w:t>
            </w:r>
          </w:p>
        </w:tc>
        <w:tc>
          <w:tcPr>
            <w:tcW w:w="2403" w:type="dxa"/>
          </w:tcPr>
          <w:p w14:paraId="79DB76AB" w14:textId="397F9898" w:rsidR="00BD7835" w:rsidRDefault="00C01DB0" w:rsidP="00C01DB0">
            <w:pPr>
              <w:pStyle w:val="NormalWeb"/>
              <w:spacing w:before="0" w:beforeAutospacing="0" w:after="0" w:afterAutospacing="0"/>
              <w:jc w:val="center"/>
              <w:rPr>
                <w:color w:val="000000"/>
                <w:sz w:val="20"/>
                <w:szCs w:val="20"/>
              </w:rPr>
            </w:pPr>
            <w:r>
              <w:rPr>
                <w:color w:val="000000"/>
                <w:sz w:val="20"/>
                <w:szCs w:val="20"/>
              </w:rPr>
              <w:t>253.48</w:t>
            </w:r>
          </w:p>
        </w:tc>
      </w:tr>
      <w:tr w:rsidR="00BD7835" w14:paraId="1FE7976B" w14:textId="77777777" w:rsidTr="00BD7835">
        <w:trPr>
          <w:trHeight w:val="410"/>
        </w:trPr>
        <w:tc>
          <w:tcPr>
            <w:tcW w:w="2402" w:type="dxa"/>
          </w:tcPr>
          <w:p w14:paraId="6DE52F36" w14:textId="616B4F5A" w:rsidR="00BD7835" w:rsidRDefault="00BD7835" w:rsidP="00C01DB0">
            <w:pPr>
              <w:pStyle w:val="NormalWeb"/>
              <w:spacing w:before="0" w:beforeAutospacing="0" w:after="0" w:afterAutospacing="0"/>
              <w:jc w:val="center"/>
              <w:rPr>
                <w:color w:val="000000"/>
                <w:sz w:val="20"/>
                <w:szCs w:val="20"/>
              </w:rPr>
            </w:pPr>
            <w:r>
              <w:rPr>
                <w:color w:val="000000"/>
                <w:sz w:val="20"/>
                <w:szCs w:val="20"/>
              </w:rPr>
              <w:t>VAR</w:t>
            </w:r>
          </w:p>
        </w:tc>
        <w:tc>
          <w:tcPr>
            <w:tcW w:w="2403" w:type="dxa"/>
          </w:tcPr>
          <w:p w14:paraId="0C51243B" w14:textId="74370C37" w:rsidR="00BD7835" w:rsidRDefault="00C01DB0" w:rsidP="00C01DB0">
            <w:pPr>
              <w:pStyle w:val="NormalWeb"/>
              <w:spacing w:before="0" w:beforeAutospacing="0" w:after="0" w:afterAutospacing="0"/>
              <w:jc w:val="center"/>
              <w:rPr>
                <w:color w:val="000000"/>
                <w:sz w:val="20"/>
                <w:szCs w:val="20"/>
              </w:rPr>
            </w:pPr>
            <w:r>
              <w:rPr>
                <w:color w:val="000000"/>
                <w:sz w:val="20"/>
                <w:szCs w:val="20"/>
              </w:rPr>
              <w:t>58.59</w:t>
            </w:r>
          </w:p>
        </w:tc>
      </w:tr>
    </w:tbl>
    <w:p w14:paraId="34B4241C" w14:textId="77777777" w:rsidR="00A750B3" w:rsidRDefault="00A750B3" w:rsidP="0043269A">
      <w:pPr>
        <w:widowControl/>
        <w:autoSpaceDE/>
        <w:autoSpaceDN/>
        <w:jc w:val="both"/>
        <w:rPr>
          <w:color w:val="1F1F1F"/>
          <w:sz w:val="20"/>
          <w:szCs w:val="20"/>
          <w:lang w:val="en-IN" w:eastAsia="en-IN"/>
        </w:rPr>
      </w:pPr>
    </w:p>
    <w:p w14:paraId="70B2DFC0" w14:textId="4E363900" w:rsidR="002823E3" w:rsidRDefault="002823E3" w:rsidP="0043269A">
      <w:pPr>
        <w:widowControl/>
        <w:autoSpaceDE/>
        <w:autoSpaceDN/>
        <w:jc w:val="both"/>
        <w:rPr>
          <w:color w:val="1F1F1F"/>
          <w:sz w:val="20"/>
          <w:szCs w:val="20"/>
          <w:lang w:val="en-IN" w:eastAsia="en-IN"/>
        </w:rPr>
      </w:pPr>
      <w:r w:rsidRPr="002823E3">
        <w:rPr>
          <w:noProof/>
          <w:color w:val="1F1F1F"/>
          <w:sz w:val="20"/>
          <w:szCs w:val="20"/>
          <w:lang w:val="en-IN" w:eastAsia="en-IN"/>
        </w:rPr>
        <w:drawing>
          <wp:inline distT="0" distB="0" distL="0" distR="0" wp14:anchorId="1135930A" wp14:editId="1B1589E4">
            <wp:extent cx="3051175" cy="2272665"/>
            <wp:effectExtent l="0" t="0" r="0" b="0"/>
            <wp:docPr id="607874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874438" name=""/>
                    <pic:cNvPicPr/>
                  </pic:nvPicPr>
                  <pic:blipFill>
                    <a:blip r:embed="rId9"/>
                    <a:stretch>
                      <a:fillRect/>
                    </a:stretch>
                  </pic:blipFill>
                  <pic:spPr>
                    <a:xfrm>
                      <a:off x="0" y="0"/>
                      <a:ext cx="3051175" cy="2272665"/>
                    </a:xfrm>
                    <a:prstGeom prst="rect">
                      <a:avLst/>
                    </a:prstGeom>
                  </pic:spPr>
                </pic:pic>
              </a:graphicData>
            </a:graphic>
          </wp:inline>
        </w:drawing>
      </w:r>
    </w:p>
    <w:p w14:paraId="77504651" w14:textId="6A1EA7CA" w:rsidR="002823E3" w:rsidRDefault="002823E3" w:rsidP="0043269A">
      <w:pPr>
        <w:widowControl/>
        <w:autoSpaceDE/>
        <w:autoSpaceDN/>
        <w:jc w:val="both"/>
        <w:rPr>
          <w:color w:val="1F1F1F"/>
          <w:sz w:val="20"/>
          <w:szCs w:val="20"/>
          <w:lang w:val="en-IN" w:eastAsia="en-IN"/>
        </w:rPr>
      </w:pPr>
      <w:r>
        <w:rPr>
          <w:color w:val="1F1F1F"/>
          <w:sz w:val="20"/>
          <w:szCs w:val="20"/>
          <w:lang w:val="en-IN" w:eastAsia="en-IN"/>
        </w:rPr>
        <w:t xml:space="preserve">                 Fig-1 LSTM predictions graph</w:t>
      </w:r>
    </w:p>
    <w:p w14:paraId="6E7EC9D0" w14:textId="77777777" w:rsidR="002823E3" w:rsidRDefault="002823E3" w:rsidP="0043269A">
      <w:pPr>
        <w:widowControl/>
        <w:autoSpaceDE/>
        <w:autoSpaceDN/>
        <w:jc w:val="both"/>
        <w:rPr>
          <w:color w:val="1F1F1F"/>
          <w:sz w:val="20"/>
          <w:szCs w:val="20"/>
          <w:lang w:val="en-IN" w:eastAsia="en-IN"/>
        </w:rPr>
      </w:pPr>
    </w:p>
    <w:p w14:paraId="5B0186F4" w14:textId="0BECFFF1" w:rsidR="002823E3" w:rsidRDefault="002823E3" w:rsidP="0043269A">
      <w:pPr>
        <w:widowControl/>
        <w:autoSpaceDE/>
        <w:autoSpaceDN/>
        <w:jc w:val="both"/>
        <w:rPr>
          <w:color w:val="1F1F1F"/>
          <w:sz w:val="20"/>
          <w:szCs w:val="20"/>
          <w:lang w:val="en-IN" w:eastAsia="en-IN"/>
        </w:rPr>
      </w:pPr>
      <w:r w:rsidRPr="002823E3">
        <w:rPr>
          <w:noProof/>
          <w:color w:val="1F1F1F"/>
          <w:sz w:val="20"/>
          <w:szCs w:val="20"/>
          <w:lang w:val="en-IN" w:eastAsia="en-IN"/>
        </w:rPr>
        <w:drawing>
          <wp:inline distT="0" distB="0" distL="0" distR="0" wp14:anchorId="1E237DEB" wp14:editId="1643E61F">
            <wp:extent cx="3051175" cy="3007995"/>
            <wp:effectExtent l="0" t="0" r="0" b="1905"/>
            <wp:docPr id="1895065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65245" name=""/>
                    <pic:cNvPicPr/>
                  </pic:nvPicPr>
                  <pic:blipFill>
                    <a:blip r:embed="rId10"/>
                    <a:stretch>
                      <a:fillRect/>
                    </a:stretch>
                  </pic:blipFill>
                  <pic:spPr>
                    <a:xfrm>
                      <a:off x="0" y="0"/>
                      <a:ext cx="3051175" cy="3007995"/>
                    </a:xfrm>
                    <a:prstGeom prst="rect">
                      <a:avLst/>
                    </a:prstGeom>
                  </pic:spPr>
                </pic:pic>
              </a:graphicData>
            </a:graphic>
          </wp:inline>
        </w:drawing>
      </w:r>
    </w:p>
    <w:p w14:paraId="15885A4D" w14:textId="36E65F63" w:rsidR="002823E3" w:rsidRDefault="002823E3" w:rsidP="0043269A">
      <w:pPr>
        <w:widowControl/>
        <w:autoSpaceDE/>
        <w:autoSpaceDN/>
        <w:jc w:val="both"/>
        <w:rPr>
          <w:color w:val="1F1F1F"/>
          <w:sz w:val="20"/>
          <w:szCs w:val="20"/>
          <w:lang w:val="en-IN" w:eastAsia="en-IN"/>
        </w:rPr>
      </w:pPr>
      <w:r>
        <w:rPr>
          <w:color w:val="1F1F1F"/>
          <w:sz w:val="20"/>
          <w:szCs w:val="20"/>
          <w:lang w:val="en-IN" w:eastAsia="en-IN"/>
        </w:rPr>
        <w:t xml:space="preserve">                 Fig-</w:t>
      </w:r>
      <w:proofErr w:type="gramStart"/>
      <w:r>
        <w:rPr>
          <w:color w:val="1F1F1F"/>
          <w:sz w:val="20"/>
          <w:szCs w:val="20"/>
          <w:lang w:val="en-IN" w:eastAsia="en-IN"/>
        </w:rPr>
        <w:t>2  VAR</w:t>
      </w:r>
      <w:proofErr w:type="gramEnd"/>
      <w:r>
        <w:rPr>
          <w:color w:val="1F1F1F"/>
          <w:sz w:val="20"/>
          <w:szCs w:val="20"/>
          <w:lang w:val="en-IN" w:eastAsia="en-IN"/>
        </w:rPr>
        <w:t xml:space="preserve"> analysis graph</w:t>
      </w:r>
    </w:p>
    <w:p w14:paraId="1DD0B630" w14:textId="77777777" w:rsidR="002823E3" w:rsidRDefault="002823E3" w:rsidP="0043269A">
      <w:pPr>
        <w:widowControl/>
        <w:autoSpaceDE/>
        <w:autoSpaceDN/>
        <w:jc w:val="both"/>
        <w:rPr>
          <w:color w:val="1F1F1F"/>
          <w:sz w:val="20"/>
          <w:szCs w:val="20"/>
          <w:lang w:val="en-IN" w:eastAsia="en-IN"/>
        </w:rPr>
      </w:pPr>
    </w:p>
    <w:p w14:paraId="2E5C1E3C" w14:textId="70B3912B" w:rsidR="002823E3" w:rsidRDefault="0050101A" w:rsidP="0043269A">
      <w:pPr>
        <w:widowControl/>
        <w:autoSpaceDE/>
        <w:autoSpaceDN/>
        <w:jc w:val="both"/>
        <w:rPr>
          <w:color w:val="1F1F1F"/>
          <w:sz w:val="20"/>
          <w:szCs w:val="20"/>
          <w:lang w:val="en-IN" w:eastAsia="en-IN"/>
        </w:rPr>
      </w:pPr>
      <w:r w:rsidRPr="0050101A">
        <w:rPr>
          <w:noProof/>
          <w:color w:val="1F1F1F"/>
          <w:sz w:val="20"/>
          <w:szCs w:val="20"/>
          <w:lang w:val="en-IN" w:eastAsia="en-IN"/>
        </w:rPr>
        <w:drawing>
          <wp:inline distT="0" distB="0" distL="0" distR="0" wp14:anchorId="33D5075F" wp14:editId="288AABDF">
            <wp:extent cx="3051175" cy="1934210"/>
            <wp:effectExtent l="0" t="0" r="0" b="8890"/>
            <wp:docPr id="1762339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339017" name=""/>
                    <pic:cNvPicPr/>
                  </pic:nvPicPr>
                  <pic:blipFill>
                    <a:blip r:embed="rId11"/>
                    <a:stretch>
                      <a:fillRect/>
                    </a:stretch>
                  </pic:blipFill>
                  <pic:spPr>
                    <a:xfrm>
                      <a:off x="0" y="0"/>
                      <a:ext cx="3051175" cy="1934210"/>
                    </a:xfrm>
                    <a:prstGeom prst="rect">
                      <a:avLst/>
                    </a:prstGeom>
                  </pic:spPr>
                </pic:pic>
              </a:graphicData>
            </a:graphic>
          </wp:inline>
        </w:drawing>
      </w:r>
    </w:p>
    <w:p w14:paraId="55CB9C99" w14:textId="4F00B69A" w:rsidR="0050101A" w:rsidRDefault="0050101A" w:rsidP="0043269A">
      <w:pPr>
        <w:widowControl/>
        <w:autoSpaceDE/>
        <w:autoSpaceDN/>
        <w:jc w:val="both"/>
        <w:rPr>
          <w:color w:val="1F1F1F"/>
          <w:sz w:val="20"/>
          <w:szCs w:val="20"/>
          <w:lang w:val="en-IN" w:eastAsia="en-IN"/>
        </w:rPr>
      </w:pPr>
      <w:r>
        <w:rPr>
          <w:color w:val="1F1F1F"/>
          <w:sz w:val="20"/>
          <w:szCs w:val="20"/>
          <w:lang w:val="en-IN" w:eastAsia="en-IN"/>
        </w:rPr>
        <w:t xml:space="preserve">                 Fig-3 prediction graph for </w:t>
      </w:r>
      <w:proofErr w:type="gramStart"/>
      <w:r>
        <w:rPr>
          <w:color w:val="1F1F1F"/>
          <w:sz w:val="20"/>
          <w:szCs w:val="20"/>
          <w:lang w:val="en-IN" w:eastAsia="en-IN"/>
        </w:rPr>
        <w:t>Arima ,Prophet</w:t>
      </w:r>
      <w:proofErr w:type="gramEnd"/>
    </w:p>
    <w:p w14:paraId="2408330E" w14:textId="12FB6934" w:rsidR="0051679B" w:rsidRDefault="0051679B" w:rsidP="0043269A">
      <w:pPr>
        <w:widowControl/>
        <w:autoSpaceDE/>
        <w:autoSpaceDN/>
        <w:jc w:val="both"/>
        <w:rPr>
          <w:color w:val="1F1F1F"/>
          <w:sz w:val="20"/>
          <w:szCs w:val="20"/>
          <w:lang w:val="en-IN" w:eastAsia="en-IN"/>
        </w:rPr>
      </w:pPr>
      <w:r w:rsidRPr="0051679B">
        <w:rPr>
          <w:noProof/>
          <w:color w:val="1F1F1F"/>
          <w:sz w:val="20"/>
          <w:szCs w:val="20"/>
          <w:lang w:val="en-IN" w:eastAsia="en-IN"/>
        </w:rPr>
        <w:drawing>
          <wp:inline distT="0" distB="0" distL="0" distR="0" wp14:anchorId="51FFB4E6" wp14:editId="66885CEF">
            <wp:extent cx="3051175" cy="2042160"/>
            <wp:effectExtent l="0" t="0" r="0" b="0"/>
            <wp:docPr id="725106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106276" name=""/>
                    <pic:cNvPicPr/>
                  </pic:nvPicPr>
                  <pic:blipFill>
                    <a:blip r:embed="rId12"/>
                    <a:stretch>
                      <a:fillRect/>
                    </a:stretch>
                  </pic:blipFill>
                  <pic:spPr>
                    <a:xfrm>
                      <a:off x="0" y="0"/>
                      <a:ext cx="3051175" cy="2042160"/>
                    </a:xfrm>
                    <a:prstGeom prst="rect">
                      <a:avLst/>
                    </a:prstGeom>
                  </pic:spPr>
                </pic:pic>
              </a:graphicData>
            </a:graphic>
          </wp:inline>
        </w:drawing>
      </w:r>
    </w:p>
    <w:p w14:paraId="25900093" w14:textId="0B264CD3" w:rsidR="0051679B" w:rsidRDefault="0051679B" w:rsidP="0043269A">
      <w:pPr>
        <w:widowControl/>
        <w:autoSpaceDE/>
        <w:autoSpaceDN/>
        <w:jc w:val="both"/>
        <w:rPr>
          <w:color w:val="1F1F1F"/>
          <w:sz w:val="20"/>
          <w:szCs w:val="20"/>
          <w:lang w:val="en-IN" w:eastAsia="en-IN"/>
        </w:rPr>
      </w:pPr>
      <w:r>
        <w:rPr>
          <w:color w:val="1F1F1F"/>
          <w:sz w:val="20"/>
          <w:szCs w:val="20"/>
          <w:lang w:val="en-IN" w:eastAsia="en-IN"/>
        </w:rPr>
        <w:t xml:space="preserve">                 Fig-</w:t>
      </w:r>
      <w:r w:rsidR="003E1922">
        <w:rPr>
          <w:color w:val="1F1F1F"/>
          <w:sz w:val="20"/>
          <w:szCs w:val="20"/>
          <w:lang w:val="en-IN" w:eastAsia="en-IN"/>
        </w:rPr>
        <w:t>4</w:t>
      </w:r>
      <w:r>
        <w:rPr>
          <w:color w:val="1F1F1F"/>
          <w:sz w:val="20"/>
          <w:szCs w:val="20"/>
          <w:lang w:val="en-IN" w:eastAsia="en-IN"/>
        </w:rPr>
        <w:t xml:space="preserve"> Test loss across all model</w:t>
      </w:r>
    </w:p>
    <w:p w14:paraId="56B6355F" w14:textId="42F0A8FE" w:rsidR="0050101A" w:rsidRDefault="0050101A" w:rsidP="0043269A">
      <w:pPr>
        <w:widowControl/>
        <w:autoSpaceDE/>
        <w:autoSpaceDN/>
        <w:jc w:val="both"/>
        <w:rPr>
          <w:color w:val="1F1F1F"/>
          <w:sz w:val="20"/>
          <w:szCs w:val="20"/>
          <w:lang w:val="en-IN" w:eastAsia="en-IN"/>
        </w:rPr>
      </w:pPr>
    </w:p>
    <w:p w14:paraId="05FF8590" w14:textId="31F89F22" w:rsidR="0051679B" w:rsidRDefault="0051679B" w:rsidP="0043269A">
      <w:pPr>
        <w:widowControl/>
        <w:autoSpaceDE/>
        <w:autoSpaceDN/>
        <w:jc w:val="both"/>
        <w:rPr>
          <w:color w:val="1F1F1F"/>
          <w:sz w:val="20"/>
          <w:szCs w:val="20"/>
          <w:lang w:val="en-IN" w:eastAsia="en-IN"/>
        </w:rPr>
      </w:pPr>
      <w:r>
        <w:rPr>
          <w:color w:val="1F1F1F"/>
          <w:sz w:val="20"/>
          <w:szCs w:val="20"/>
          <w:lang w:val="en-IN" w:eastAsia="en-IN"/>
        </w:rPr>
        <w:t>Analysis of test loss in each model</w:t>
      </w:r>
    </w:p>
    <w:p w14:paraId="223B9798" w14:textId="77777777" w:rsidR="0051679B" w:rsidRDefault="0051679B" w:rsidP="0043269A">
      <w:pPr>
        <w:widowControl/>
        <w:autoSpaceDE/>
        <w:autoSpaceDN/>
        <w:jc w:val="both"/>
        <w:rPr>
          <w:color w:val="1F1F1F"/>
          <w:sz w:val="20"/>
          <w:szCs w:val="20"/>
          <w:lang w:val="en-IN" w:eastAsia="en-IN"/>
        </w:rPr>
      </w:pPr>
    </w:p>
    <w:tbl>
      <w:tblPr>
        <w:tblStyle w:val="TableGrid"/>
        <w:tblW w:w="0" w:type="auto"/>
        <w:tblLook w:val="04A0" w:firstRow="1" w:lastRow="0" w:firstColumn="1" w:lastColumn="0" w:noHBand="0" w:noVBand="1"/>
      </w:tblPr>
      <w:tblGrid>
        <w:gridCol w:w="2104"/>
        <w:gridCol w:w="1385"/>
        <w:gridCol w:w="1306"/>
      </w:tblGrid>
      <w:tr w:rsidR="0051679B" w14:paraId="2DE2E4DD" w14:textId="77777777" w:rsidTr="0051679B">
        <w:tc>
          <w:tcPr>
            <w:tcW w:w="2235" w:type="dxa"/>
          </w:tcPr>
          <w:p w14:paraId="02BF1965" w14:textId="60F788F9" w:rsidR="0051679B" w:rsidRDefault="0051679B" w:rsidP="0043269A">
            <w:pPr>
              <w:widowControl/>
              <w:autoSpaceDE/>
              <w:autoSpaceDN/>
              <w:jc w:val="both"/>
              <w:rPr>
                <w:color w:val="1F1F1F"/>
                <w:sz w:val="20"/>
                <w:szCs w:val="20"/>
                <w:lang w:val="en-IN" w:eastAsia="en-IN"/>
              </w:rPr>
            </w:pPr>
            <w:r>
              <w:rPr>
                <w:color w:val="1F1F1F"/>
                <w:sz w:val="20"/>
                <w:szCs w:val="20"/>
                <w:lang w:val="en-IN" w:eastAsia="en-IN"/>
              </w:rPr>
              <w:t>Pollutant</w:t>
            </w:r>
          </w:p>
        </w:tc>
        <w:tc>
          <w:tcPr>
            <w:tcW w:w="1417" w:type="dxa"/>
          </w:tcPr>
          <w:p w14:paraId="783DD9EE" w14:textId="354BD51E" w:rsidR="0051679B" w:rsidRDefault="0051679B" w:rsidP="0043269A">
            <w:pPr>
              <w:widowControl/>
              <w:autoSpaceDE/>
              <w:autoSpaceDN/>
              <w:jc w:val="both"/>
              <w:rPr>
                <w:color w:val="1F1F1F"/>
                <w:sz w:val="20"/>
                <w:szCs w:val="20"/>
                <w:lang w:val="en-IN" w:eastAsia="en-IN"/>
              </w:rPr>
            </w:pPr>
            <w:r>
              <w:rPr>
                <w:color w:val="1F1F1F"/>
                <w:sz w:val="20"/>
                <w:szCs w:val="20"/>
                <w:lang w:val="en-IN" w:eastAsia="en-IN"/>
              </w:rPr>
              <w:t>Best Model</w:t>
            </w:r>
          </w:p>
        </w:tc>
        <w:tc>
          <w:tcPr>
            <w:tcW w:w="1369" w:type="dxa"/>
          </w:tcPr>
          <w:p w14:paraId="77DE800A" w14:textId="525C0736" w:rsidR="0051679B" w:rsidRDefault="0051679B" w:rsidP="0043269A">
            <w:pPr>
              <w:widowControl/>
              <w:autoSpaceDE/>
              <w:autoSpaceDN/>
              <w:jc w:val="both"/>
              <w:rPr>
                <w:color w:val="1F1F1F"/>
                <w:sz w:val="20"/>
                <w:szCs w:val="20"/>
                <w:lang w:val="en-IN" w:eastAsia="en-IN"/>
              </w:rPr>
            </w:pPr>
            <w:r>
              <w:rPr>
                <w:color w:val="1F1F1F"/>
                <w:sz w:val="20"/>
                <w:szCs w:val="20"/>
                <w:lang w:val="en-IN" w:eastAsia="en-IN"/>
              </w:rPr>
              <w:t>Worst Model</w:t>
            </w:r>
          </w:p>
        </w:tc>
      </w:tr>
      <w:tr w:rsidR="0051679B" w14:paraId="12797998" w14:textId="77777777" w:rsidTr="0051679B">
        <w:tc>
          <w:tcPr>
            <w:tcW w:w="2235" w:type="dxa"/>
          </w:tcPr>
          <w:p w14:paraId="7472B50B" w14:textId="4C9DBC62" w:rsidR="0051679B" w:rsidRDefault="0051679B" w:rsidP="0043269A">
            <w:pPr>
              <w:widowControl/>
              <w:autoSpaceDE/>
              <w:autoSpaceDN/>
              <w:jc w:val="both"/>
              <w:rPr>
                <w:color w:val="1F1F1F"/>
                <w:sz w:val="20"/>
                <w:szCs w:val="20"/>
                <w:lang w:val="en-IN" w:eastAsia="en-IN"/>
              </w:rPr>
            </w:pPr>
            <w:r w:rsidRPr="0051679B">
              <w:rPr>
                <w:color w:val="1F1F1F"/>
                <w:sz w:val="20"/>
                <w:szCs w:val="20"/>
                <w:lang w:val="en-IN" w:eastAsia="en-IN"/>
              </w:rPr>
              <w:t>PM2.5 AQI Test Loss</w:t>
            </w:r>
          </w:p>
        </w:tc>
        <w:tc>
          <w:tcPr>
            <w:tcW w:w="1417" w:type="dxa"/>
          </w:tcPr>
          <w:p w14:paraId="6F986120" w14:textId="2E97DFF6" w:rsidR="0051679B" w:rsidRDefault="0051679B" w:rsidP="0043269A">
            <w:pPr>
              <w:widowControl/>
              <w:autoSpaceDE/>
              <w:autoSpaceDN/>
              <w:jc w:val="both"/>
              <w:rPr>
                <w:color w:val="1F1F1F"/>
                <w:sz w:val="20"/>
                <w:szCs w:val="20"/>
                <w:lang w:val="en-IN" w:eastAsia="en-IN"/>
              </w:rPr>
            </w:pPr>
            <w:r>
              <w:rPr>
                <w:color w:val="1F1F1F"/>
                <w:sz w:val="20"/>
                <w:szCs w:val="20"/>
                <w:lang w:val="en-IN" w:eastAsia="en-IN"/>
              </w:rPr>
              <w:t>PROPHET</w:t>
            </w:r>
          </w:p>
        </w:tc>
        <w:tc>
          <w:tcPr>
            <w:tcW w:w="1369" w:type="dxa"/>
          </w:tcPr>
          <w:p w14:paraId="43D30BD3" w14:textId="20D68509" w:rsidR="0051679B" w:rsidRDefault="0051679B" w:rsidP="0043269A">
            <w:pPr>
              <w:widowControl/>
              <w:autoSpaceDE/>
              <w:autoSpaceDN/>
              <w:jc w:val="both"/>
              <w:rPr>
                <w:color w:val="1F1F1F"/>
                <w:sz w:val="20"/>
                <w:szCs w:val="20"/>
                <w:lang w:val="en-IN" w:eastAsia="en-IN"/>
              </w:rPr>
            </w:pPr>
            <w:r>
              <w:rPr>
                <w:color w:val="1F1F1F"/>
                <w:sz w:val="20"/>
                <w:szCs w:val="20"/>
                <w:lang w:val="en-IN" w:eastAsia="en-IN"/>
              </w:rPr>
              <w:t>LSTM</w:t>
            </w:r>
          </w:p>
        </w:tc>
      </w:tr>
      <w:tr w:rsidR="0051679B" w14:paraId="4CEA1CE5" w14:textId="77777777" w:rsidTr="0051679B">
        <w:tc>
          <w:tcPr>
            <w:tcW w:w="2235" w:type="dxa"/>
          </w:tcPr>
          <w:p w14:paraId="593A6AD3" w14:textId="190DB8F4" w:rsidR="0051679B" w:rsidRDefault="0051679B" w:rsidP="0043269A">
            <w:pPr>
              <w:widowControl/>
              <w:autoSpaceDE/>
              <w:autoSpaceDN/>
              <w:jc w:val="both"/>
              <w:rPr>
                <w:color w:val="1F1F1F"/>
                <w:sz w:val="20"/>
                <w:szCs w:val="20"/>
                <w:lang w:val="en-IN" w:eastAsia="en-IN"/>
              </w:rPr>
            </w:pPr>
            <w:r w:rsidRPr="0051679B">
              <w:rPr>
                <w:color w:val="1F1F1F"/>
                <w:sz w:val="20"/>
                <w:szCs w:val="20"/>
                <w:lang w:val="en-IN" w:eastAsia="en-IN"/>
              </w:rPr>
              <w:t>CO AQI Test Loss</w:t>
            </w:r>
          </w:p>
        </w:tc>
        <w:tc>
          <w:tcPr>
            <w:tcW w:w="1417" w:type="dxa"/>
          </w:tcPr>
          <w:p w14:paraId="3120F9BE" w14:textId="1AA4537B" w:rsidR="0051679B" w:rsidRDefault="0051679B" w:rsidP="0043269A">
            <w:pPr>
              <w:widowControl/>
              <w:autoSpaceDE/>
              <w:autoSpaceDN/>
              <w:jc w:val="both"/>
              <w:rPr>
                <w:color w:val="1F1F1F"/>
                <w:sz w:val="20"/>
                <w:szCs w:val="20"/>
                <w:lang w:val="en-IN" w:eastAsia="en-IN"/>
              </w:rPr>
            </w:pPr>
            <w:r>
              <w:rPr>
                <w:color w:val="1F1F1F"/>
                <w:sz w:val="20"/>
                <w:szCs w:val="20"/>
                <w:lang w:val="en-IN" w:eastAsia="en-IN"/>
              </w:rPr>
              <w:t>ARIMA</w:t>
            </w:r>
          </w:p>
        </w:tc>
        <w:tc>
          <w:tcPr>
            <w:tcW w:w="1369" w:type="dxa"/>
          </w:tcPr>
          <w:p w14:paraId="5919C6BD" w14:textId="5EC9AEFC" w:rsidR="0051679B" w:rsidRDefault="0051679B" w:rsidP="0043269A">
            <w:pPr>
              <w:widowControl/>
              <w:autoSpaceDE/>
              <w:autoSpaceDN/>
              <w:jc w:val="both"/>
              <w:rPr>
                <w:color w:val="1F1F1F"/>
                <w:sz w:val="20"/>
                <w:szCs w:val="20"/>
                <w:lang w:val="en-IN" w:eastAsia="en-IN"/>
              </w:rPr>
            </w:pPr>
            <w:r>
              <w:rPr>
                <w:color w:val="1F1F1F"/>
                <w:sz w:val="20"/>
                <w:szCs w:val="20"/>
                <w:lang w:val="en-IN" w:eastAsia="en-IN"/>
              </w:rPr>
              <w:t>LSTM</w:t>
            </w:r>
          </w:p>
        </w:tc>
      </w:tr>
      <w:tr w:rsidR="0051679B" w14:paraId="00385D03" w14:textId="77777777" w:rsidTr="0051679B">
        <w:tc>
          <w:tcPr>
            <w:tcW w:w="2235" w:type="dxa"/>
          </w:tcPr>
          <w:p w14:paraId="4C636E08" w14:textId="2E1F0782" w:rsidR="0051679B" w:rsidRDefault="0051679B" w:rsidP="0043269A">
            <w:pPr>
              <w:widowControl/>
              <w:autoSpaceDE/>
              <w:autoSpaceDN/>
              <w:jc w:val="both"/>
              <w:rPr>
                <w:color w:val="1F1F1F"/>
                <w:sz w:val="20"/>
                <w:szCs w:val="20"/>
                <w:lang w:val="en-IN" w:eastAsia="en-IN"/>
              </w:rPr>
            </w:pPr>
            <w:r w:rsidRPr="0051679B">
              <w:rPr>
                <w:color w:val="1F1F1F"/>
                <w:sz w:val="20"/>
                <w:szCs w:val="20"/>
                <w:lang w:val="en-IN" w:eastAsia="en-IN"/>
              </w:rPr>
              <w:t>Ozone AQI Test Loss</w:t>
            </w:r>
          </w:p>
        </w:tc>
        <w:tc>
          <w:tcPr>
            <w:tcW w:w="1417" w:type="dxa"/>
          </w:tcPr>
          <w:p w14:paraId="1D8117E1" w14:textId="2471C7AD" w:rsidR="0051679B" w:rsidRDefault="0051679B" w:rsidP="0043269A">
            <w:pPr>
              <w:widowControl/>
              <w:autoSpaceDE/>
              <w:autoSpaceDN/>
              <w:jc w:val="both"/>
              <w:rPr>
                <w:color w:val="1F1F1F"/>
                <w:sz w:val="20"/>
                <w:szCs w:val="20"/>
                <w:lang w:val="en-IN" w:eastAsia="en-IN"/>
              </w:rPr>
            </w:pPr>
            <w:r>
              <w:rPr>
                <w:color w:val="1F1F1F"/>
                <w:sz w:val="20"/>
                <w:szCs w:val="20"/>
                <w:lang w:val="en-IN" w:eastAsia="en-IN"/>
              </w:rPr>
              <w:t>VAR</w:t>
            </w:r>
          </w:p>
        </w:tc>
        <w:tc>
          <w:tcPr>
            <w:tcW w:w="1369" w:type="dxa"/>
          </w:tcPr>
          <w:p w14:paraId="7C7DC696" w14:textId="66F75A6E" w:rsidR="0051679B" w:rsidRDefault="0051679B" w:rsidP="0043269A">
            <w:pPr>
              <w:widowControl/>
              <w:autoSpaceDE/>
              <w:autoSpaceDN/>
              <w:jc w:val="both"/>
              <w:rPr>
                <w:color w:val="1F1F1F"/>
                <w:sz w:val="20"/>
                <w:szCs w:val="20"/>
                <w:lang w:val="en-IN" w:eastAsia="en-IN"/>
              </w:rPr>
            </w:pPr>
            <w:r>
              <w:rPr>
                <w:color w:val="1F1F1F"/>
                <w:sz w:val="20"/>
                <w:szCs w:val="20"/>
                <w:lang w:val="en-IN" w:eastAsia="en-IN"/>
              </w:rPr>
              <w:t>LSTM</w:t>
            </w:r>
          </w:p>
        </w:tc>
      </w:tr>
      <w:tr w:rsidR="0051679B" w14:paraId="1B3203D9" w14:textId="77777777" w:rsidTr="0051679B">
        <w:tc>
          <w:tcPr>
            <w:tcW w:w="2235" w:type="dxa"/>
          </w:tcPr>
          <w:p w14:paraId="0D54DA97" w14:textId="006E0F8D" w:rsidR="0051679B" w:rsidRDefault="0051679B" w:rsidP="0043269A">
            <w:pPr>
              <w:widowControl/>
              <w:autoSpaceDE/>
              <w:autoSpaceDN/>
              <w:jc w:val="both"/>
              <w:rPr>
                <w:color w:val="1F1F1F"/>
                <w:sz w:val="20"/>
                <w:szCs w:val="20"/>
                <w:lang w:val="en-IN" w:eastAsia="en-IN"/>
              </w:rPr>
            </w:pPr>
            <w:r w:rsidRPr="0051679B">
              <w:rPr>
                <w:color w:val="1F1F1F"/>
                <w:sz w:val="20"/>
                <w:szCs w:val="20"/>
                <w:lang w:val="en-IN" w:eastAsia="en-IN"/>
              </w:rPr>
              <w:t>NO2 AQI Test Loss</w:t>
            </w:r>
          </w:p>
        </w:tc>
        <w:tc>
          <w:tcPr>
            <w:tcW w:w="1417" w:type="dxa"/>
          </w:tcPr>
          <w:p w14:paraId="0B528390" w14:textId="7F9E1D5F" w:rsidR="0051679B" w:rsidRDefault="0051679B" w:rsidP="0043269A">
            <w:pPr>
              <w:widowControl/>
              <w:autoSpaceDE/>
              <w:autoSpaceDN/>
              <w:jc w:val="both"/>
              <w:rPr>
                <w:color w:val="1F1F1F"/>
                <w:sz w:val="20"/>
                <w:szCs w:val="20"/>
                <w:lang w:val="en-IN" w:eastAsia="en-IN"/>
              </w:rPr>
            </w:pPr>
            <w:r>
              <w:rPr>
                <w:color w:val="1F1F1F"/>
                <w:sz w:val="20"/>
                <w:szCs w:val="20"/>
                <w:lang w:val="en-IN" w:eastAsia="en-IN"/>
              </w:rPr>
              <w:t>ARIMA</w:t>
            </w:r>
          </w:p>
        </w:tc>
        <w:tc>
          <w:tcPr>
            <w:tcW w:w="1369" w:type="dxa"/>
          </w:tcPr>
          <w:p w14:paraId="778DEFB6" w14:textId="3EAABDE8" w:rsidR="0051679B" w:rsidRDefault="0051679B" w:rsidP="0043269A">
            <w:pPr>
              <w:widowControl/>
              <w:autoSpaceDE/>
              <w:autoSpaceDN/>
              <w:jc w:val="both"/>
              <w:rPr>
                <w:color w:val="1F1F1F"/>
                <w:sz w:val="20"/>
                <w:szCs w:val="20"/>
                <w:lang w:val="en-IN" w:eastAsia="en-IN"/>
              </w:rPr>
            </w:pPr>
            <w:r>
              <w:rPr>
                <w:color w:val="1F1F1F"/>
                <w:sz w:val="20"/>
                <w:szCs w:val="20"/>
                <w:lang w:val="en-IN" w:eastAsia="en-IN"/>
              </w:rPr>
              <w:t>LSTM</w:t>
            </w:r>
          </w:p>
        </w:tc>
      </w:tr>
    </w:tbl>
    <w:p w14:paraId="42964D2E" w14:textId="77777777" w:rsidR="0051679B" w:rsidRDefault="0051679B" w:rsidP="0043269A">
      <w:pPr>
        <w:widowControl/>
        <w:autoSpaceDE/>
        <w:autoSpaceDN/>
        <w:jc w:val="both"/>
        <w:rPr>
          <w:color w:val="1F1F1F"/>
          <w:sz w:val="20"/>
          <w:szCs w:val="20"/>
          <w:lang w:val="en-IN" w:eastAsia="en-IN"/>
        </w:rPr>
      </w:pPr>
    </w:p>
    <w:p w14:paraId="75578B4D" w14:textId="77777777" w:rsidR="0050101A" w:rsidRDefault="0050101A" w:rsidP="0043269A">
      <w:pPr>
        <w:widowControl/>
        <w:autoSpaceDE/>
        <w:autoSpaceDN/>
        <w:jc w:val="both"/>
        <w:rPr>
          <w:color w:val="1F1F1F"/>
          <w:sz w:val="20"/>
          <w:szCs w:val="20"/>
          <w:lang w:val="en-IN" w:eastAsia="en-IN"/>
        </w:rPr>
      </w:pPr>
    </w:p>
    <w:p w14:paraId="3C15FE69" w14:textId="1747CA44" w:rsidR="0051679B" w:rsidRDefault="003E1922" w:rsidP="0043269A">
      <w:pPr>
        <w:widowControl/>
        <w:autoSpaceDE/>
        <w:autoSpaceDN/>
        <w:jc w:val="both"/>
        <w:rPr>
          <w:color w:val="1F1F1F"/>
          <w:sz w:val="20"/>
          <w:szCs w:val="20"/>
          <w:lang w:val="en-IN" w:eastAsia="en-IN"/>
        </w:rPr>
      </w:pPr>
      <w:r w:rsidRPr="003E1922">
        <w:rPr>
          <w:noProof/>
          <w:color w:val="1F1F1F"/>
          <w:sz w:val="20"/>
          <w:szCs w:val="20"/>
          <w:lang w:val="en-IN" w:eastAsia="en-IN"/>
        </w:rPr>
        <w:drawing>
          <wp:inline distT="0" distB="0" distL="0" distR="0" wp14:anchorId="382750F8" wp14:editId="2CDA4164">
            <wp:extent cx="3051175" cy="2085340"/>
            <wp:effectExtent l="0" t="0" r="0" b="0"/>
            <wp:docPr id="1470763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763672" name=""/>
                    <pic:cNvPicPr/>
                  </pic:nvPicPr>
                  <pic:blipFill>
                    <a:blip r:embed="rId13"/>
                    <a:stretch>
                      <a:fillRect/>
                    </a:stretch>
                  </pic:blipFill>
                  <pic:spPr>
                    <a:xfrm>
                      <a:off x="0" y="0"/>
                      <a:ext cx="3051175" cy="2085340"/>
                    </a:xfrm>
                    <a:prstGeom prst="rect">
                      <a:avLst/>
                    </a:prstGeom>
                  </pic:spPr>
                </pic:pic>
              </a:graphicData>
            </a:graphic>
          </wp:inline>
        </w:drawing>
      </w:r>
    </w:p>
    <w:p w14:paraId="7D7E679E" w14:textId="5E8ED49F" w:rsidR="003E1922" w:rsidRDefault="003E1922" w:rsidP="0043269A">
      <w:pPr>
        <w:widowControl/>
        <w:autoSpaceDE/>
        <w:autoSpaceDN/>
        <w:jc w:val="both"/>
        <w:rPr>
          <w:color w:val="1F1F1F"/>
          <w:sz w:val="20"/>
          <w:szCs w:val="20"/>
          <w:lang w:val="en-IN" w:eastAsia="en-IN"/>
        </w:rPr>
      </w:pPr>
      <w:r>
        <w:rPr>
          <w:color w:val="1F1F1F"/>
          <w:sz w:val="20"/>
          <w:szCs w:val="20"/>
          <w:lang w:val="en-IN" w:eastAsia="en-IN"/>
        </w:rPr>
        <w:t xml:space="preserve">                 Fig-5 comparision of all models</w:t>
      </w:r>
    </w:p>
    <w:p w14:paraId="755A0617" w14:textId="77777777" w:rsidR="003E1922" w:rsidRDefault="003E1922" w:rsidP="0043269A">
      <w:pPr>
        <w:widowControl/>
        <w:autoSpaceDE/>
        <w:autoSpaceDN/>
        <w:jc w:val="both"/>
        <w:rPr>
          <w:color w:val="1F1F1F"/>
          <w:sz w:val="20"/>
          <w:szCs w:val="20"/>
          <w:lang w:val="en-IN" w:eastAsia="en-IN"/>
        </w:rPr>
      </w:pPr>
    </w:p>
    <w:p w14:paraId="4AA8EC12" w14:textId="77777777" w:rsidR="003E1922" w:rsidRDefault="003E1922" w:rsidP="0043269A">
      <w:pPr>
        <w:widowControl/>
        <w:autoSpaceDE/>
        <w:autoSpaceDN/>
        <w:jc w:val="both"/>
        <w:rPr>
          <w:color w:val="1F1F1F"/>
          <w:sz w:val="20"/>
          <w:szCs w:val="20"/>
          <w:lang w:val="en-IN" w:eastAsia="en-IN"/>
        </w:rPr>
      </w:pPr>
    </w:p>
    <w:p w14:paraId="0EC0E183" w14:textId="3B6E587C" w:rsidR="0050101A" w:rsidRDefault="0050101A" w:rsidP="0043269A">
      <w:pPr>
        <w:pStyle w:val="ListParagraph"/>
        <w:widowControl/>
        <w:numPr>
          <w:ilvl w:val="0"/>
          <w:numId w:val="10"/>
        </w:numPr>
        <w:autoSpaceDE/>
        <w:autoSpaceDN/>
        <w:jc w:val="both"/>
        <w:rPr>
          <w:color w:val="1F1F1F"/>
          <w:sz w:val="20"/>
          <w:szCs w:val="20"/>
          <w:lang w:val="en-IN" w:eastAsia="en-IN"/>
        </w:rPr>
      </w:pPr>
      <w:r>
        <w:rPr>
          <w:color w:val="1F1F1F"/>
          <w:sz w:val="20"/>
          <w:szCs w:val="20"/>
          <w:lang w:val="en-IN" w:eastAsia="en-IN"/>
        </w:rPr>
        <w:t>Future Scope</w:t>
      </w:r>
    </w:p>
    <w:p w14:paraId="5D3BCD58" w14:textId="77777777" w:rsidR="0051679B" w:rsidRDefault="0051679B" w:rsidP="0043269A">
      <w:pPr>
        <w:widowControl/>
        <w:autoSpaceDE/>
        <w:autoSpaceDN/>
        <w:jc w:val="both"/>
        <w:rPr>
          <w:color w:val="1F1F1F"/>
          <w:sz w:val="20"/>
          <w:szCs w:val="20"/>
          <w:lang w:val="en-IN" w:eastAsia="en-IN"/>
        </w:rPr>
      </w:pPr>
    </w:p>
    <w:p w14:paraId="2D7486DC" w14:textId="7404AAFE" w:rsidR="003E1922" w:rsidRDefault="003E1922" w:rsidP="0043269A">
      <w:pPr>
        <w:widowControl/>
        <w:autoSpaceDE/>
        <w:autoSpaceDN/>
        <w:jc w:val="both"/>
        <w:rPr>
          <w:color w:val="1F1F1F"/>
          <w:sz w:val="20"/>
          <w:szCs w:val="20"/>
          <w:lang w:val="en-IN" w:eastAsia="en-IN"/>
        </w:rPr>
      </w:pPr>
      <w:r w:rsidRPr="003E1922">
        <w:rPr>
          <w:color w:val="1F1F1F"/>
          <w:sz w:val="20"/>
          <w:szCs w:val="20"/>
          <w:lang w:val="en-IN" w:eastAsia="en-IN"/>
        </w:rPr>
        <w:t>The future scope of data-driven approaches in analyzing air quality dynamics for environmental sustainability is vast and holds significant potential for enhancing our understanding and management of air quality. This includes the refinement of modeling techniques through the exploration of machine learning algorithms and the integration of advanced analytics methods, such as deep learning and big data analytics, to handle the increasing volume and complexity of data. The incorporation of additional data sources, such as satellite data, social media data, and more detailed weather data, will be crucial for improving the spatial and temporal resolution of air quality predictions. Furthermore, addressing emerging challenges, such as the impacts of climate change on air quality and the need for predictive maintenance of monitoring equipment, will require the development of models that can adapt to these changing conditions. By focusing on these areas, future work can significantly enhance our ability to predict and manage air quality, contributing to environmental sustainability and public health.</w:t>
      </w:r>
    </w:p>
    <w:p w14:paraId="6F1AD0CB" w14:textId="77777777" w:rsidR="00C01DB0" w:rsidRDefault="00C01DB0" w:rsidP="0043269A">
      <w:pPr>
        <w:widowControl/>
        <w:autoSpaceDE/>
        <w:autoSpaceDN/>
        <w:jc w:val="both"/>
        <w:rPr>
          <w:color w:val="1F1F1F"/>
          <w:sz w:val="20"/>
          <w:szCs w:val="20"/>
          <w:lang w:val="en-IN" w:eastAsia="en-IN"/>
        </w:rPr>
      </w:pPr>
    </w:p>
    <w:p w14:paraId="79880A46" w14:textId="77777777" w:rsidR="003E1922" w:rsidRPr="0051679B" w:rsidRDefault="003E1922" w:rsidP="0043269A">
      <w:pPr>
        <w:widowControl/>
        <w:autoSpaceDE/>
        <w:autoSpaceDN/>
        <w:jc w:val="both"/>
        <w:rPr>
          <w:color w:val="1F1F1F"/>
          <w:sz w:val="20"/>
          <w:szCs w:val="20"/>
          <w:lang w:val="en-IN" w:eastAsia="en-IN"/>
        </w:rPr>
      </w:pPr>
    </w:p>
    <w:p w14:paraId="321C7B02" w14:textId="3A8801FC" w:rsidR="00A750B3" w:rsidRPr="00A750B3" w:rsidRDefault="00563297" w:rsidP="0043269A">
      <w:pPr>
        <w:pStyle w:val="ListParagraph"/>
        <w:widowControl/>
        <w:numPr>
          <w:ilvl w:val="0"/>
          <w:numId w:val="10"/>
        </w:numPr>
        <w:autoSpaceDE/>
        <w:autoSpaceDN/>
        <w:jc w:val="both"/>
        <w:rPr>
          <w:color w:val="1F1F1F"/>
          <w:sz w:val="20"/>
          <w:szCs w:val="20"/>
          <w:lang w:val="en-IN" w:eastAsia="en-IN"/>
        </w:rPr>
      </w:pPr>
      <w:r>
        <w:rPr>
          <w:color w:val="1F1F1F"/>
          <w:sz w:val="20"/>
          <w:szCs w:val="20"/>
          <w:lang w:val="en-IN" w:eastAsia="en-IN"/>
        </w:rPr>
        <w:t>References</w:t>
      </w:r>
    </w:p>
    <w:p w14:paraId="1E36439B" w14:textId="65BB3B21" w:rsidR="008C64C4" w:rsidRPr="0054567C" w:rsidRDefault="008C64C4" w:rsidP="0043269A">
      <w:pPr>
        <w:widowControl/>
        <w:autoSpaceDE/>
        <w:autoSpaceDN/>
        <w:jc w:val="both"/>
        <w:rPr>
          <w:color w:val="000000"/>
          <w:sz w:val="20"/>
          <w:szCs w:val="20"/>
        </w:rPr>
      </w:pPr>
      <w:r w:rsidRPr="0054567C">
        <w:rPr>
          <w:color w:val="1F1F1F"/>
          <w:sz w:val="20"/>
          <w:szCs w:val="20"/>
          <w:lang w:val="en-IN" w:eastAsia="en-IN"/>
        </w:rPr>
        <w:t xml:space="preserve">[1] </w:t>
      </w:r>
      <w:r w:rsidR="0054567C" w:rsidRPr="0054567C">
        <w:rPr>
          <w:sz w:val="20"/>
          <w:szCs w:val="20"/>
        </w:rPr>
        <w:t>Quantifying effects of long-range transport of NO2 over Delhi using back trajectories and satellite data, 2024.</w:t>
      </w:r>
      <w:r w:rsidRPr="0054567C">
        <w:rPr>
          <w:color w:val="000000"/>
          <w:sz w:val="20"/>
          <w:szCs w:val="20"/>
        </w:rPr>
        <w:t xml:space="preserve"> </w:t>
      </w:r>
      <w:hyperlink r:id="rId14" w:history="1">
        <w:r w:rsidR="0054567C" w:rsidRPr="0054567C">
          <w:rPr>
            <w:rStyle w:val="Hyperlink"/>
            <w:sz w:val="20"/>
            <w:szCs w:val="20"/>
          </w:rPr>
          <w:t>https://acp.copernicus.org/articles/24/789/2024/acp-24-789-2024.pdf</w:t>
        </w:r>
      </w:hyperlink>
    </w:p>
    <w:p w14:paraId="6880F945" w14:textId="77777777" w:rsidR="008C64C4" w:rsidRPr="0054567C" w:rsidRDefault="008C64C4" w:rsidP="0043269A">
      <w:pPr>
        <w:widowControl/>
        <w:autoSpaceDE/>
        <w:autoSpaceDN/>
        <w:jc w:val="both"/>
        <w:rPr>
          <w:color w:val="000000"/>
          <w:sz w:val="20"/>
          <w:szCs w:val="20"/>
        </w:rPr>
      </w:pPr>
    </w:p>
    <w:p w14:paraId="59DAE450" w14:textId="2A9603D0" w:rsidR="008C64C4" w:rsidRPr="0054567C" w:rsidRDefault="008C64C4" w:rsidP="0043269A">
      <w:pPr>
        <w:pStyle w:val="NormalWeb"/>
        <w:spacing w:before="0" w:beforeAutospacing="0" w:after="0" w:afterAutospacing="0"/>
        <w:jc w:val="both"/>
        <w:textAlignment w:val="baseline"/>
        <w:rPr>
          <w:color w:val="000000"/>
          <w:sz w:val="20"/>
          <w:szCs w:val="20"/>
        </w:rPr>
      </w:pPr>
      <w:r w:rsidRPr="0054567C">
        <w:rPr>
          <w:color w:val="000000"/>
          <w:sz w:val="20"/>
          <w:szCs w:val="20"/>
        </w:rPr>
        <w:t>[2]</w:t>
      </w:r>
      <w:r w:rsidR="0054567C" w:rsidRPr="0054567C">
        <w:rPr>
          <w:sz w:val="20"/>
          <w:szCs w:val="20"/>
        </w:rPr>
        <w:t xml:space="preserve"> Air quality analysis and PM2.5 modelling using machine learning techniques: A study of Hyderabad city in India, 2023.</w:t>
      </w:r>
      <w:r w:rsidRPr="0054567C">
        <w:rPr>
          <w:color w:val="000000"/>
          <w:sz w:val="20"/>
          <w:szCs w:val="20"/>
        </w:rPr>
        <w:t xml:space="preserve"> </w:t>
      </w:r>
      <w:hyperlink r:id="rId15" w:history="1"/>
      <w:r w:rsidR="0054567C" w:rsidRPr="0054567C">
        <w:rPr>
          <w:rStyle w:val="Hyperlink"/>
          <w:sz w:val="20"/>
          <w:szCs w:val="20"/>
        </w:rPr>
        <w:t>https://www.tandfonline.com/doi/full/10.1080/23311916.2023.2243743</w:t>
      </w:r>
    </w:p>
    <w:p w14:paraId="1E1DEBF9" w14:textId="584E95EF" w:rsidR="00A750B3" w:rsidRPr="0054567C" w:rsidRDefault="008C64C4" w:rsidP="0043269A">
      <w:pPr>
        <w:widowControl/>
        <w:autoSpaceDE/>
        <w:autoSpaceDN/>
        <w:jc w:val="both"/>
        <w:rPr>
          <w:color w:val="1F1F1F"/>
          <w:sz w:val="20"/>
          <w:szCs w:val="20"/>
          <w:lang w:val="en-IN" w:eastAsia="en-IN"/>
        </w:rPr>
      </w:pPr>
      <w:r w:rsidRPr="0054567C">
        <w:rPr>
          <w:color w:val="000000"/>
          <w:sz w:val="20"/>
          <w:szCs w:val="20"/>
        </w:rPr>
        <w:t xml:space="preserve"> </w:t>
      </w:r>
      <w:r w:rsidRPr="0054567C">
        <w:rPr>
          <w:color w:val="1F1F1F"/>
          <w:sz w:val="20"/>
          <w:szCs w:val="20"/>
          <w:lang w:val="en-IN" w:eastAsia="en-IN"/>
        </w:rPr>
        <w:t xml:space="preserve"> </w:t>
      </w:r>
    </w:p>
    <w:p w14:paraId="225D942A" w14:textId="289B7FDA" w:rsidR="008C64C4" w:rsidRPr="0054567C" w:rsidRDefault="008C64C4" w:rsidP="0043269A">
      <w:pPr>
        <w:widowControl/>
        <w:autoSpaceDE/>
        <w:autoSpaceDN/>
        <w:jc w:val="both"/>
        <w:textAlignment w:val="baseline"/>
        <w:rPr>
          <w:sz w:val="20"/>
          <w:szCs w:val="20"/>
        </w:rPr>
      </w:pPr>
      <w:r w:rsidRPr="0054567C">
        <w:rPr>
          <w:color w:val="000000"/>
          <w:sz w:val="20"/>
          <w:szCs w:val="20"/>
          <w:lang w:val="en-IN" w:eastAsia="en-IN"/>
        </w:rPr>
        <w:t>[3]</w:t>
      </w:r>
      <w:r w:rsidR="0054567C" w:rsidRPr="0054567C">
        <w:rPr>
          <w:sz w:val="20"/>
          <w:szCs w:val="20"/>
        </w:rPr>
        <w:t xml:space="preserve"> Prediction of Air Quality Index Using Machine Learning Techniques: A Comparative Analysis, 2023.</w:t>
      </w:r>
      <w:r w:rsidRPr="0054567C">
        <w:rPr>
          <w:color w:val="000000"/>
          <w:sz w:val="20"/>
          <w:szCs w:val="20"/>
          <w:lang w:val="en-IN" w:eastAsia="en-IN"/>
        </w:rPr>
        <w:t xml:space="preserve"> </w:t>
      </w:r>
      <w:hyperlink r:id="rId16" w:history="1">
        <w:r w:rsidR="0054567C" w:rsidRPr="0054567C">
          <w:rPr>
            <w:rStyle w:val="Hyperlink"/>
            <w:sz w:val="20"/>
            <w:szCs w:val="20"/>
          </w:rPr>
          <w:t>https://www.researchgate.net/publication/367551057_Prediction_of_Air_Quality_Index_Using_Machine_Learning_Techniques_A_Comparative_Analysis</w:t>
        </w:r>
      </w:hyperlink>
    </w:p>
    <w:p w14:paraId="00EDB5B1" w14:textId="77777777" w:rsidR="0054567C" w:rsidRPr="0054567C" w:rsidRDefault="0054567C" w:rsidP="0043269A">
      <w:pPr>
        <w:widowControl/>
        <w:autoSpaceDE/>
        <w:autoSpaceDN/>
        <w:jc w:val="both"/>
        <w:textAlignment w:val="baseline"/>
        <w:rPr>
          <w:color w:val="000000"/>
          <w:sz w:val="20"/>
          <w:szCs w:val="20"/>
          <w:lang w:val="en-IN" w:eastAsia="en-IN"/>
        </w:rPr>
      </w:pPr>
    </w:p>
    <w:p w14:paraId="5E94C77A" w14:textId="77777777" w:rsidR="008C64C4" w:rsidRPr="0054567C" w:rsidRDefault="008C64C4" w:rsidP="0043269A">
      <w:pPr>
        <w:widowControl/>
        <w:autoSpaceDE/>
        <w:autoSpaceDN/>
        <w:jc w:val="both"/>
        <w:textAlignment w:val="baseline"/>
        <w:rPr>
          <w:color w:val="000000"/>
          <w:sz w:val="20"/>
          <w:szCs w:val="20"/>
          <w:lang w:val="en-IN" w:eastAsia="en-IN"/>
        </w:rPr>
      </w:pPr>
    </w:p>
    <w:p w14:paraId="34291740" w14:textId="77777777" w:rsidR="0054567C" w:rsidRDefault="008C64C4" w:rsidP="0043269A">
      <w:pPr>
        <w:widowControl/>
        <w:autoSpaceDE/>
        <w:autoSpaceDN/>
        <w:jc w:val="both"/>
        <w:textAlignment w:val="baseline"/>
        <w:rPr>
          <w:color w:val="000000"/>
          <w:sz w:val="20"/>
          <w:szCs w:val="20"/>
          <w:lang w:val="en-IN" w:eastAsia="en-IN"/>
        </w:rPr>
      </w:pPr>
      <w:r w:rsidRPr="0054567C">
        <w:rPr>
          <w:color w:val="000000"/>
          <w:sz w:val="20"/>
          <w:szCs w:val="20"/>
          <w:lang w:val="en-IN" w:eastAsia="en-IN"/>
        </w:rPr>
        <w:t>[4]</w:t>
      </w:r>
      <w:r w:rsidR="0054567C" w:rsidRPr="0054567C">
        <w:rPr>
          <w:sz w:val="20"/>
          <w:szCs w:val="20"/>
        </w:rPr>
        <w:t xml:space="preserve"> Air Quality Monitoring and Analysis for Sustainable Development of Solid Waste Dump Yards Using Smart Drones andGeospatialTechnology,2023</w:t>
      </w:r>
      <w:r w:rsidRPr="0054567C">
        <w:rPr>
          <w:color w:val="000000"/>
          <w:sz w:val="20"/>
          <w:szCs w:val="20"/>
          <w:lang w:val="en-IN" w:eastAsia="en-IN"/>
        </w:rPr>
        <w:t>.</w:t>
      </w:r>
    </w:p>
    <w:p w14:paraId="7B09C401" w14:textId="6042497C" w:rsidR="008C64C4" w:rsidRPr="0054567C" w:rsidRDefault="00000000" w:rsidP="0043269A">
      <w:pPr>
        <w:widowControl/>
        <w:autoSpaceDE/>
        <w:autoSpaceDN/>
        <w:jc w:val="both"/>
        <w:textAlignment w:val="baseline"/>
        <w:rPr>
          <w:color w:val="000000"/>
          <w:sz w:val="20"/>
          <w:szCs w:val="20"/>
          <w:lang w:val="en-IN" w:eastAsia="en-IN"/>
        </w:rPr>
      </w:pPr>
      <w:hyperlink r:id="rId17" w:history="1">
        <w:r w:rsidR="0054567C" w:rsidRPr="00DD02D1">
          <w:rPr>
            <w:rStyle w:val="Hyperlink"/>
            <w:sz w:val="20"/>
            <w:szCs w:val="20"/>
            <w:lang w:val="en-IN" w:eastAsia="en-IN"/>
          </w:rPr>
          <w:t>https://www.researchgate.net/publication/373721188_Air_Quality_Monitoring_and_Analysis_for_Sustainable_Development_of_Solid_Waste_Dump_Yards_Using_Smart_Drones_and_Geospatial_Technology</w:t>
        </w:r>
      </w:hyperlink>
    </w:p>
    <w:p w14:paraId="1C10C767" w14:textId="77777777" w:rsidR="0054567C" w:rsidRPr="0054567C" w:rsidRDefault="0054567C" w:rsidP="0043269A">
      <w:pPr>
        <w:widowControl/>
        <w:autoSpaceDE/>
        <w:autoSpaceDN/>
        <w:jc w:val="both"/>
        <w:textAlignment w:val="baseline"/>
        <w:rPr>
          <w:color w:val="000000"/>
          <w:sz w:val="20"/>
          <w:szCs w:val="20"/>
          <w:lang w:val="en-IN" w:eastAsia="en-IN"/>
        </w:rPr>
      </w:pPr>
    </w:p>
    <w:p w14:paraId="2CD2DF41" w14:textId="77777777" w:rsidR="008C64C4" w:rsidRPr="0054567C" w:rsidRDefault="008C64C4" w:rsidP="0043269A">
      <w:pPr>
        <w:widowControl/>
        <w:autoSpaceDE/>
        <w:autoSpaceDN/>
        <w:jc w:val="both"/>
        <w:textAlignment w:val="baseline"/>
        <w:rPr>
          <w:color w:val="000000"/>
          <w:sz w:val="20"/>
          <w:szCs w:val="20"/>
          <w:lang w:val="en-IN" w:eastAsia="en-IN"/>
        </w:rPr>
      </w:pPr>
    </w:p>
    <w:p w14:paraId="40B155C5" w14:textId="3B614E7F" w:rsidR="008C64C4" w:rsidRPr="0054567C" w:rsidRDefault="008C64C4" w:rsidP="0043269A">
      <w:pPr>
        <w:widowControl/>
        <w:autoSpaceDE/>
        <w:autoSpaceDN/>
        <w:jc w:val="both"/>
        <w:textAlignment w:val="baseline"/>
        <w:rPr>
          <w:sz w:val="20"/>
          <w:szCs w:val="20"/>
        </w:rPr>
      </w:pPr>
      <w:r w:rsidRPr="0054567C">
        <w:rPr>
          <w:color w:val="000000"/>
          <w:sz w:val="20"/>
          <w:szCs w:val="20"/>
          <w:lang w:val="en-IN" w:eastAsia="en-IN"/>
        </w:rPr>
        <w:t>[5]</w:t>
      </w:r>
      <w:r w:rsidR="005055CE" w:rsidRPr="0054567C">
        <w:rPr>
          <w:color w:val="000000"/>
          <w:sz w:val="20"/>
          <w:szCs w:val="20"/>
          <w:lang w:val="en-IN" w:eastAsia="en-IN"/>
        </w:rPr>
        <w:t xml:space="preserve"> </w:t>
      </w:r>
      <w:r w:rsidR="0054567C" w:rsidRPr="0054567C">
        <w:rPr>
          <w:sz w:val="20"/>
          <w:szCs w:val="20"/>
        </w:rPr>
        <w:t xml:space="preserve">Systematizing the approach to air quality measurement and analysis in </w:t>
      </w:r>
      <w:proofErr w:type="gramStart"/>
      <w:r w:rsidR="0054567C" w:rsidRPr="0054567C">
        <w:rPr>
          <w:sz w:val="20"/>
          <w:szCs w:val="20"/>
        </w:rPr>
        <w:t>low and middle income</w:t>
      </w:r>
      <w:proofErr w:type="gramEnd"/>
      <w:r w:rsidR="0054567C" w:rsidRPr="0054567C">
        <w:rPr>
          <w:sz w:val="20"/>
          <w:szCs w:val="20"/>
        </w:rPr>
        <w:t xml:space="preserve"> countries, 2022. </w:t>
      </w:r>
      <w:hyperlink r:id="rId18" w:history="1">
        <w:r w:rsidR="0054567C" w:rsidRPr="0054567C">
          <w:rPr>
            <w:rStyle w:val="Hyperlink"/>
            <w:sz w:val="20"/>
            <w:szCs w:val="20"/>
          </w:rPr>
          <w:t>https://iopscience.iop.org/article/10.1088/1748-9326/ac4a9e/pdf</w:t>
        </w:r>
      </w:hyperlink>
    </w:p>
    <w:p w14:paraId="774C68FB" w14:textId="77777777" w:rsidR="0054567C" w:rsidRPr="0054567C" w:rsidRDefault="0054567C" w:rsidP="0043269A">
      <w:pPr>
        <w:widowControl/>
        <w:autoSpaceDE/>
        <w:autoSpaceDN/>
        <w:jc w:val="both"/>
        <w:textAlignment w:val="baseline"/>
        <w:rPr>
          <w:color w:val="000000"/>
          <w:sz w:val="20"/>
          <w:szCs w:val="20"/>
          <w:lang w:val="en-IN" w:eastAsia="en-IN"/>
        </w:rPr>
      </w:pPr>
    </w:p>
    <w:p w14:paraId="2CBCBDBD" w14:textId="77777777" w:rsidR="008C64C4" w:rsidRPr="0054567C" w:rsidRDefault="008C64C4" w:rsidP="0043269A">
      <w:pPr>
        <w:widowControl/>
        <w:autoSpaceDE/>
        <w:autoSpaceDN/>
        <w:jc w:val="both"/>
        <w:textAlignment w:val="baseline"/>
        <w:rPr>
          <w:color w:val="000000"/>
          <w:sz w:val="20"/>
          <w:szCs w:val="20"/>
          <w:lang w:val="en-IN" w:eastAsia="en-IN"/>
        </w:rPr>
      </w:pPr>
    </w:p>
    <w:p w14:paraId="6E3446B2" w14:textId="50159033" w:rsidR="008C64C4" w:rsidRPr="0054567C" w:rsidRDefault="008C64C4" w:rsidP="0043269A">
      <w:pPr>
        <w:widowControl/>
        <w:autoSpaceDE/>
        <w:autoSpaceDN/>
        <w:jc w:val="both"/>
        <w:textAlignment w:val="baseline"/>
        <w:rPr>
          <w:sz w:val="20"/>
          <w:szCs w:val="20"/>
        </w:rPr>
      </w:pPr>
      <w:r w:rsidRPr="0054567C">
        <w:rPr>
          <w:color w:val="000000"/>
          <w:sz w:val="20"/>
          <w:szCs w:val="20"/>
          <w:lang w:val="en-IN" w:eastAsia="en-IN"/>
        </w:rPr>
        <w:t xml:space="preserve">[6] </w:t>
      </w:r>
      <w:r w:rsidR="0054567C" w:rsidRPr="0054567C">
        <w:rPr>
          <w:sz w:val="20"/>
          <w:szCs w:val="20"/>
        </w:rPr>
        <w:t>Advances in air quality research – current and emerging challenges, 2022.</w:t>
      </w:r>
    </w:p>
    <w:p w14:paraId="70717945" w14:textId="6A8615A2" w:rsidR="0054567C" w:rsidRPr="0054567C" w:rsidRDefault="00000000" w:rsidP="0043269A">
      <w:pPr>
        <w:widowControl/>
        <w:autoSpaceDE/>
        <w:autoSpaceDN/>
        <w:jc w:val="both"/>
        <w:textAlignment w:val="baseline"/>
        <w:rPr>
          <w:color w:val="000000"/>
          <w:sz w:val="20"/>
          <w:szCs w:val="20"/>
          <w:lang w:val="en-IN" w:eastAsia="en-IN"/>
        </w:rPr>
      </w:pPr>
      <w:hyperlink r:id="rId19" w:history="1">
        <w:r w:rsidR="0054567C" w:rsidRPr="0054567C">
          <w:rPr>
            <w:rStyle w:val="Hyperlink"/>
            <w:sz w:val="20"/>
            <w:szCs w:val="20"/>
            <w:lang w:val="en-IN" w:eastAsia="en-IN"/>
          </w:rPr>
          <w:t>https://acp.copernicus.org/articles/22/4615/2022/</w:t>
        </w:r>
      </w:hyperlink>
    </w:p>
    <w:p w14:paraId="5610F272" w14:textId="77777777" w:rsidR="0054567C" w:rsidRPr="0054567C" w:rsidRDefault="0054567C" w:rsidP="0043269A">
      <w:pPr>
        <w:widowControl/>
        <w:autoSpaceDE/>
        <w:autoSpaceDN/>
        <w:jc w:val="both"/>
        <w:textAlignment w:val="baseline"/>
        <w:rPr>
          <w:color w:val="000000"/>
          <w:sz w:val="20"/>
          <w:szCs w:val="20"/>
          <w:lang w:val="en-IN" w:eastAsia="en-IN"/>
        </w:rPr>
      </w:pPr>
    </w:p>
    <w:p w14:paraId="02B26353" w14:textId="77777777" w:rsidR="008C64C4" w:rsidRPr="0054567C" w:rsidRDefault="008C64C4" w:rsidP="0043269A">
      <w:pPr>
        <w:widowControl/>
        <w:autoSpaceDE/>
        <w:autoSpaceDN/>
        <w:jc w:val="both"/>
        <w:textAlignment w:val="baseline"/>
        <w:rPr>
          <w:color w:val="000000"/>
          <w:sz w:val="20"/>
          <w:szCs w:val="20"/>
          <w:lang w:val="en-IN" w:eastAsia="en-IN"/>
        </w:rPr>
      </w:pPr>
    </w:p>
    <w:p w14:paraId="66891C96" w14:textId="521C7D82" w:rsidR="008C64C4" w:rsidRPr="0054567C" w:rsidRDefault="008C64C4" w:rsidP="0043269A">
      <w:pPr>
        <w:widowControl/>
        <w:autoSpaceDE/>
        <w:autoSpaceDN/>
        <w:jc w:val="both"/>
        <w:textAlignment w:val="baseline"/>
        <w:rPr>
          <w:sz w:val="20"/>
          <w:szCs w:val="20"/>
        </w:rPr>
      </w:pPr>
      <w:r w:rsidRPr="0054567C">
        <w:rPr>
          <w:color w:val="000000"/>
          <w:sz w:val="20"/>
          <w:szCs w:val="20"/>
          <w:lang w:val="en-IN" w:eastAsia="en-IN"/>
        </w:rPr>
        <w:t xml:space="preserve">[7] </w:t>
      </w:r>
      <w:r w:rsidR="0054567C" w:rsidRPr="0054567C">
        <w:rPr>
          <w:sz w:val="20"/>
          <w:szCs w:val="20"/>
        </w:rPr>
        <w:t xml:space="preserve">A Study and Analysis of Air Quality Index and Related Health Impact on Public Health, 2021. </w:t>
      </w:r>
      <w:hyperlink r:id="rId20" w:history="1">
        <w:r w:rsidR="0054567C" w:rsidRPr="0054567C">
          <w:rPr>
            <w:rStyle w:val="Hyperlink"/>
            <w:sz w:val="20"/>
            <w:szCs w:val="20"/>
          </w:rPr>
          <w:t>https://papers.ssrn.com/sol3/papers.cfm?abstract_id=3768477</w:t>
        </w:r>
      </w:hyperlink>
    </w:p>
    <w:p w14:paraId="7A4A042C" w14:textId="77777777" w:rsidR="0054567C" w:rsidRPr="0054567C" w:rsidRDefault="0054567C" w:rsidP="0043269A">
      <w:pPr>
        <w:widowControl/>
        <w:autoSpaceDE/>
        <w:autoSpaceDN/>
        <w:jc w:val="both"/>
        <w:textAlignment w:val="baseline"/>
        <w:rPr>
          <w:color w:val="000000"/>
          <w:sz w:val="20"/>
          <w:szCs w:val="20"/>
          <w:lang w:val="en-IN" w:eastAsia="en-IN"/>
        </w:rPr>
      </w:pPr>
    </w:p>
    <w:p w14:paraId="5E966D87" w14:textId="77777777" w:rsidR="008C64C4" w:rsidRPr="0054567C" w:rsidRDefault="008C64C4" w:rsidP="0043269A">
      <w:pPr>
        <w:widowControl/>
        <w:autoSpaceDE/>
        <w:autoSpaceDN/>
        <w:jc w:val="both"/>
        <w:textAlignment w:val="baseline"/>
        <w:rPr>
          <w:color w:val="000000"/>
          <w:sz w:val="20"/>
          <w:szCs w:val="20"/>
          <w:lang w:val="en-IN" w:eastAsia="en-IN"/>
        </w:rPr>
      </w:pPr>
    </w:p>
    <w:p w14:paraId="06572AA6" w14:textId="52AAA37B" w:rsidR="0054567C" w:rsidRPr="0054567C" w:rsidRDefault="008C64C4" w:rsidP="0043269A">
      <w:pPr>
        <w:widowControl/>
        <w:autoSpaceDE/>
        <w:autoSpaceDN/>
        <w:jc w:val="both"/>
        <w:textAlignment w:val="baseline"/>
        <w:rPr>
          <w:sz w:val="20"/>
          <w:szCs w:val="20"/>
        </w:rPr>
      </w:pPr>
      <w:r w:rsidRPr="0054567C">
        <w:rPr>
          <w:color w:val="000000"/>
          <w:sz w:val="20"/>
          <w:szCs w:val="20"/>
          <w:lang w:val="en-IN" w:eastAsia="en-IN"/>
        </w:rPr>
        <w:t xml:space="preserve">[8] </w:t>
      </w:r>
      <w:r w:rsidR="0054567C" w:rsidRPr="0054567C">
        <w:rPr>
          <w:sz w:val="20"/>
          <w:szCs w:val="20"/>
        </w:rPr>
        <w:t xml:space="preserve">COVID-19 lockdown-induced changes in NO2 levels across India observed by multi-satellite and surface observations, 2021. </w:t>
      </w:r>
      <w:hyperlink r:id="rId21" w:history="1">
        <w:r w:rsidR="0054567C" w:rsidRPr="0054567C">
          <w:rPr>
            <w:rStyle w:val="Hyperlink"/>
            <w:sz w:val="20"/>
            <w:szCs w:val="20"/>
          </w:rPr>
          <w:t>https://acp.copernicus.org/articles/21/5235/2021/acp-21-5235-2021-discussion.html</w:t>
        </w:r>
      </w:hyperlink>
    </w:p>
    <w:p w14:paraId="351AA57F" w14:textId="564A9586" w:rsidR="008C64C4" w:rsidRPr="0054567C" w:rsidRDefault="0054567C" w:rsidP="0043269A">
      <w:pPr>
        <w:widowControl/>
        <w:autoSpaceDE/>
        <w:autoSpaceDN/>
        <w:jc w:val="both"/>
        <w:textAlignment w:val="baseline"/>
        <w:rPr>
          <w:color w:val="000000"/>
          <w:sz w:val="20"/>
          <w:szCs w:val="20"/>
          <w:lang w:val="en-IN" w:eastAsia="en-IN"/>
        </w:rPr>
      </w:pPr>
      <w:r w:rsidRPr="0054567C">
        <w:rPr>
          <w:color w:val="000000"/>
          <w:sz w:val="20"/>
          <w:szCs w:val="20"/>
          <w:lang w:val="en-IN" w:eastAsia="en-IN"/>
        </w:rPr>
        <w:t xml:space="preserve"> </w:t>
      </w:r>
    </w:p>
    <w:p w14:paraId="0948D488" w14:textId="77777777" w:rsidR="008C64C4" w:rsidRPr="0054567C" w:rsidRDefault="008C64C4" w:rsidP="0043269A">
      <w:pPr>
        <w:widowControl/>
        <w:autoSpaceDE/>
        <w:autoSpaceDN/>
        <w:jc w:val="both"/>
        <w:textAlignment w:val="baseline"/>
        <w:rPr>
          <w:color w:val="000000"/>
          <w:sz w:val="20"/>
          <w:szCs w:val="20"/>
          <w:lang w:val="en-IN" w:eastAsia="en-IN"/>
        </w:rPr>
      </w:pPr>
    </w:p>
    <w:p w14:paraId="2E39F971" w14:textId="20583825" w:rsidR="008C64C4" w:rsidRPr="0054567C" w:rsidRDefault="008C64C4" w:rsidP="0043269A">
      <w:pPr>
        <w:widowControl/>
        <w:autoSpaceDE/>
        <w:autoSpaceDN/>
        <w:jc w:val="both"/>
        <w:textAlignment w:val="baseline"/>
        <w:rPr>
          <w:sz w:val="20"/>
          <w:szCs w:val="20"/>
        </w:rPr>
      </w:pPr>
      <w:r w:rsidRPr="0054567C">
        <w:rPr>
          <w:color w:val="000000"/>
          <w:sz w:val="20"/>
          <w:szCs w:val="20"/>
          <w:lang w:val="en-IN" w:eastAsia="en-IN"/>
        </w:rPr>
        <w:t xml:space="preserve">[9] </w:t>
      </w:r>
      <w:r w:rsidR="0054567C" w:rsidRPr="0054567C">
        <w:rPr>
          <w:sz w:val="20"/>
          <w:szCs w:val="20"/>
        </w:rPr>
        <w:t xml:space="preserve">Modelling black carbon absorption of solar radiation: combining external and internal mixing assumptions, 2019. </w:t>
      </w:r>
      <w:hyperlink r:id="rId22" w:history="1">
        <w:r w:rsidR="0054567C" w:rsidRPr="0054567C">
          <w:rPr>
            <w:rStyle w:val="Hyperlink"/>
            <w:sz w:val="20"/>
            <w:szCs w:val="20"/>
          </w:rPr>
          <w:t>https://acp.copernicus.org/articles/19/181/2019/</w:t>
        </w:r>
      </w:hyperlink>
    </w:p>
    <w:p w14:paraId="73059196" w14:textId="77777777" w:rsidR="0054567C" w:rsidRPr="0054567C" w:rsidRDefault="0054567C" w:rsidP="0043269A">
      <w:pPr>
        <w:widowControl/>
        <w:autoSpaceDE/>
        <w:autoSpaceDN/>
        <w:jc w:val="both"/>
        <w:textAlignment w:val="baseline"/>
        <w:rPr>
          <w:color w:val="000000"/>
          <w:sz w:val="20"/>
          <w:szCs w:val="20"/>
          <w:lang w:val="en-IN" w:eastAsia="en-IN"/>
        </w:rPr>
      </w:pPr>
    </w:p>
    <w:p w14:paraId="1781C2EF" w14:textId="77777777" w:rsidR="008C64C4" w:rsidRPr="0054567C" w:rsidRDefault="008C64C4" w:rsidP="0043269A">
      <w:pPr>
        <w:widowControl/>
        <w:autoSpaceDE/>
        <w:autoSpaceDN/>
        <w:jc w:val="both"/>
        <w:textAlignment w:val="baseline"/>
        <w:rPr>
          <w:color w:val="000000"/>
          <w:sz w:val="20"/>
          <w:szCs w:val="20"/>
          <w:lang w:val="en-IN" w:eastAsia="en-IN"/>
        </w:rPr>
      </w:pPr>
    </w:p>
    <w:p w14:paraId="71A4B834" w14:textId="6F1BE0EB" w:rsidR="0054567C" w:rsidRPr="0054567C" w:rsidRDefault="008C64C4" w:rsidP="0043269A">
      <w:pPr>
        <w:widowControl/>
        <w:shd w:val="clear" w:color="auto" w:fill="FFFFFF"/>
        <w:autoSpaceDE/>
        <w:autoSpaceDN/>
        <w:jc w:val="both"/>
        <w:textAlignment w:val="baseline"/>
        <w:outlineLvl w:val="0"/>
        <w:rPr>
          <w:sz w:val="20"/>
          <w:szCs w:val="20"/>
        </w:rPr>
      </w:pPr>
      <w:r w:rsidRPr="0054567C">
        <w:rPr>
          <w:color w:val="000000"/>
          <w:kern w:val="36"/>
          <w:sz w:val="20"/>
          <w:szCs w:val="20"/>
          <w:lang w:val="en-IN" w:eastAsia="en-IN"/>
        </w:rPr>
        <w:t xml:space="preserve">[10] </w:t>
      </w:r>
      <w:r w:rsidR="0054567C" w:rsidRPr="0054567C">
        <w:rPr>
          <w:rStyle w:val="citation-0"/>
          <w:sz w:val="20"/>
          <w:szCs w:val="20"/>
        </w:rPr>
        <w:t>Influence of anthropogenic emissions and boundary conditions on multi-model simulations of major air pollutants over Europe and North America in the framework of AQMEII3,</w:t>
      </w:r>
      <w:r w:rsidR="0054567C" w:rsidRPr="0054567C">
        <w:rPr>
          <w:sz w:val="20"/>
          <w:szCs w:val="20"/>
        </w:rPr>
        <w:t xml:space="preserve"> 2018. </w:t>
      </w:r>
      <w:hyperlink r:id="rId23" w:history="1">
        <w:r w:rsidR="0054567C" w:rsidRPr="0054567C">
          <w:rPr>
            <w:rStyle w:val="Hyperlink"/>
            <w:sz w:val="20"/>
            <w:szCs w:val="20"/>
          </w:rPr>
          <w:t>https://acp.copernicus.org/articles/18/8929/2018/</w:t>
        </w:r>
      </w:hyperlink>
    </w:p>
    <w:p w14:paraId="293A3A62" w14:textId="67D1AB47" w:rsidR="008C64C4" w:rsidRDefault="0054567C" w:rsidP="0043269A">
      <w:pPr>
        <w:widowControl/>
        <w:shd w:val="clear" w:color="auto" w:fill="FFFFFF"/>
        <w:autoSpaceDE/>
        <w:autoSpaceDN/>
        <w:jc w:val="both"/>
        <w:textAlignment w:val="baseline"/>
        <w:outlineLvl w:val="0"/>
        <w:rPr>
          <w:color w:val="000000"/>
          <w:kern w:val="36"/>
          <w:sz w:val="20"/>
          <w:szCs w:val="20"/>
          <w:lang w:val="en-IN" w:eastAsia="en-IN"/>
        </w:rPr>
      </w:pPr>
      <w:r>
        <w:rPr>
          <w:color w:val="000000"/>
          <w:kern w:val="36"/>
          <w:sz w:val="20"/>
          <w:szCs w:val="20"/>
          <w:lang w:val="en-IN" w:eastAsia="en-IN"/>
        </w:rPr>
        <w:t xml:space="preserve"> </w:t>
      </w:r>
    </w:p>
    <w:p w14:paraId="6AB2749B" w14:textId="77777777" w:rsidR="00B4724A" w:rsidRPr="008C64C4" w:rsidRDefault="00B4724A" w:rsidP="008C64C4">
      <w:pPr>
        <w:widowControl/>
        <w:shd w:val="clear" w:color="auto" w:fill="FFFFFF"/>
        <w:autoSpaceDE/>
        <w:autoSpaceDN/>
        <w:jc w:val="both"/>
        <w:textAlignment w:val="baseline"/>
        <w:outlineLvl w:val="0"/>
        <w:rPr>
          <w:b/>
          <w:bCs/>
          <w:color w:val="000000"/>
          <w:kern w:val="36"/>
          <w:sz w:val="48"/>
          <w:szCs w:val="48"/>
          <w:lang w:val="en-IN" w:eastAsia="en-IN"/>
        </w:rPr>
      </w:pPr>
    </w:p>
    <w:p w14:paraId="73D3E743" w14:textId="6F57F3BE" w:rsidR="00A750B3" w:rsidRPr="00A750B3" w:rsidRDefault="00A750B3" w:rsidP="00F3273B">
      <w:pPr>
        <w:pStyle w:val="BodyText"/>
        <w:spacing w:before="62"/>
        <w:ind w:left="0" w:right="45"/>
        <w:rPr>
          <w:color w:val="1F1F1F"/>
          <w:lang w:val="en-IN" w:eastAsia="en-IN"/>
        </w:rPr>
        <w:sectPr w:rsidR="00A750B3" w:rsidRPr="00A750B3" w:rsidSect="00442600">
          <w:type w:val="continuous"/>
          <w:pgSz w:w="11910" w:h="16840"/>
          <w:pgMar w:top="460" w:right="800" w:bottom="280" w:left="780" w:header="720" w:footer="720" w:gutter="0"/>
          <w:cols w:num="2" w:space="720" w:equalWidth="0">
            <w:col w:w="5035" w:space="191"/>
            <w:col w:w="5104"/>
          </w:cols>
        </w:sectPr>
      </w:pPr>
    </w:p>
    <w:p w14:paraId="6F6D945E" w14:textId="77777777" w:rsidR="00DE400D" w:rsidRPr="00B4724A" w:rsidRDefault="00DE400D" w:rsidP="004E5905">
      <w:pPr>
        <w:tabs>
          <w:tab w:val="left" w:pos="478"/>
        </w:tabs>
        <w:spacing w:before="47"/>
        <w:rPr>
          <w:sz w:val="16"/>
        </w:rPr>
      </w:pPr>
    </w:p>
    <w:sectPr w:rsidR="00DE400D" w:rsidRPr="00B4724A">
      <w:pgSz w:w="11910" w:h="16840"/>
      <w:pgMar w:top="1000" w:right="800" w:bottom="280" w:left="780" w:header="720" w:footer="720" w:gutter="0"/>
      <w:cols w:num="2" w:space="720" w:equalWidth="0">
        <w:col w:w="5033" w:space="193"/>
        <w:col w:w="510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A33FE"/>
    <w:multiLevelType w:val="multilevel"/>
    <w:tmpl w:val="9176F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D3C32"/>
    <w:multiLevelType w:val="multilevel"/>
    <w:tmpl w:val="313A0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844D5"/>
    <w:multiLevelType w:val="multilevel"/>
    <w:tmpl w:val="D7AEA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5E2539"/>
    <w:multiLevelType w:val="multilevel"/>
    <w:tmpl w:val="61B6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40827"/>
    <w:multiLevelType w:val="multilevel"/>
    <w:tmpl w:val="062E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13F04"/>
    <w:multiLevelType w:val="hybridMultilevel"/>
    <w:tmpl w:val="8A88E656"/>
    <w:lvl w:ilvl="0" w:tplc="02F6F6F2">
      <w:start w:val="1"/>
      <w:numFmt w:val="lowerLetter"/>
      <w:lvlText w:val="%1."/>
      <w:lvlJc w:val="left"/>
      <w:pPr>
        <w:ind w:left="503"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3C560F4E">
      <w:numFmt w:val="bullet"/>
      <w:lvlText w:val="•"/>
      <w:lvlJc w:val="left"/>
      <w:pPr>
        <w:ind w:left="942" w:hanging="360"/>
      </w:pPr>
      <w:rPr>
        <w:rFonts w:hint="default"/>
        <w:lang w:val="en-US" w:eastAsia="en-US" w:bidi="ar-SA"/>
      </w:rPr>
    </w:lvl>
    <w:lvl w:ilvl="2" w:tplc="72FEE762">
      <w:numFmt w:val="bullet"/>
      <w:lvlText w:val="•"/>
      <w:lvlJc w:val="left"/>
      <w:pPr>
        <w:ind w:left="1390" w:hanging="360"/>
      </w:pPr>
      <w:rPr>
        <w:rFonts w:hint="default"/>
        <w:lang w:val="en-US" w:eastAsia="en-US" w:bidi="ar-SA"/>
      </w:rPr>
    </w:lvl>
    <w:lvl w:ilvl="3" w:tplc="321CB3EA">
      <w:numFmt w:val="bullet"/>
      <w:lvlText w:val="•"/>
      <w:lvlJc w:val="left"/>
      <w:pPr>
        <w:ind w:left="1838" w:hanging="360"/>
      </w:pPr>
      <w:rPr>
        <w:rFonts w:hint="default"/>
        <w:lang w:val="en-US" w:eastAsia="en-US" w:bidi="ar-SA"/>
      </w:rPr>
    </w:lvl>
    <w:lvl w:ilvl="4" w:tplc="C2D29012">
      <w:numFmt w:val="bullet"/>
      <w:lvlText w:val="•"/>
      <w:lvlJc w:val="left"/>
      <w:pPr>
        <w:ind w:left="2286" w:hanging="360"/>
      </w:pPr>
      <w:rPr>
        <w:rFonts w:hint="default"/>
        <w:lang w:val="en-US" w:eastAsia="en-US" w:bidi="ar-SA"/>
      </w:rPr>
    </w:lvl>
    <w:lvl w:ilvl="5" w:tplc="730E588A">
      <w:numFmt w:val="bullet"/>
      <w:lvlText w:val="•"/>
      <w:lvlJc w:val="left"/>
      <w:pPr>
        <w:ind w:left="2734" w:hanging="360"/>
      </w:pPr>
      <w:rPr>
        <w:rFonts w:hint="default"/>
        <w:lang w:val="en-US" w:eastAsia="en-US" w:bidi="ar-SA"/>
      </w:rPr>
    </w:lvl>
    <w:lvl w:ilvl="6" w:tplc="141A8434">
      <w:numFmt w:val="bullet"/>
      <w:lvlText w:val="•"/>
      <w:lvlJc w:val="left"/>
      <w:pPr>
        <w:ind w:left="3182" w:hanging="360"/>
      </w:pPr>
      <w:rPr>
        <w:rFonts w:hint="default"/>
        <w:lang w:val="en-US" w:eastAsia="en-US" w:bidi="ar-SA"/>
      </w:rPr>
    </w:lvl>
    <w:lvl w:ilvl="7" w:tplc="33F479F6">
      <w:numFmt w:val="bullet"/>
      <w:lvlText w:val="•"/>
      <w:lvlJc w:val="left"/>
      <w:pPr>
        <w:ind w:left="3630" w:hanging="360"/>
      </w:pPr>
      <w:rPr>
        <w:rFonts w:hint="default"/>
        <w:lang w:val="en-US" w:eastAsia="en-US" w:bidi="ar-SA"/>
      </w:rPr>
    </w:lvl>
    <w:lvl w:ilvl="8" w:tplc="64489A5E">
      <w:numFmt w:val="bullet"/>
      <w:lvlText w:val="•"/>
      <w:lvlJc w:val="left"/>
      <w:pPr>
        <w:ind w:left="4078" w:hanging="360"/>
      </w:pPr>
      <w:rPr>
        <w:rFonts w:hint="default"/>
        <w:lang w:val="en-US" w:eastAsia="en-US" w:bidi="ar-SA"/>
      </w:rPr>
    </w:lvl>
  </w:abstractNum>
  <w:abstractNum w:abstractNumId="6" w15:restartNumberingAfterBreak="0">
    <w:nsid w:val="1E862606"/>
    <w:multiLevelType w:val="hybridMultilevel"/>
    <w:tmpl w:val="0086650E"/>
    <w:lvl w:ilvl="0" w:tplc="43243232">
      <w:start w:val="1"/>
      <w:numFmt w:val="decimal"/>
      <w:lvlText w:val="%1."/>
      <w:lvlJc w:val="left"/>
      <w:pPr>
        <w:ind w:left="360" w:hanging="360"/>
      </w:pPr>
      <w:rPr>
        <w:rFonts w:hint="default"/>
        <w:b/>
        <w:bCs/>
      </w:rPr>
    </w:lvl>
    <w:lvl w:ilvl="1" w:tplc="40090019">
      <w:start w:val="1"/>
      <w:numFmt w:val="lowerLetter"/>
      <w:lvlText w:val="%2."/>
      <w:lvlJc w:val="left"/>
      <w:pPr>
        <w:ind w:left="655" w:hanging="360"/>
      </w:pPr>
    </w:lvl>
    <w:lvl w:ilvl="2" w:tplc="4009001B" w:tentative="1">
      <w:start w:val="1"/>
      <w:numFmt w:val="lowerRoman"/>
      <w:lvlText w:val="%3."/>
      <w:lvlJc w:val="right"/>
      <w:pPr>
        <w:ind w:left="1375" w:hanging="180"/>
      </w:pPr>
    </w:lvl>
    <w:lvl w:ilvl="3" w:tplc="4009000F" w:tentative="1">
      <w:start w:val="1"/>
      <w:numFmt w:val="decimal"/>
      <w:lvlText w:val="%4."/>
      <w:lvlJc w:val="left"/>
      <w:pPr>
        <w:ind w:left="2095" w:hanging="360"/>
      </w:pPr>
    </w:lvl>
    <w:lvl w:ilvl="4" w:tplc="40090019" w:tentative="1">
      <w:start w:val="1"/>
      <w:numFmt w:val="lowerLetter"/>
      <w:lvlText w:val="%5."/>
      <w:lvlJc w:val="left"/>
      <w:pPr>
        <w:ind w:left="2815" w:hanging="360"/>
      </w:pPr>
    </w:lvl>
    <w:lvl w:ilvl="5" w:tplc="4009001B" w:tentative="1">
      <w:start w:val="1"/>
      <w:numFmt w:val="lowerRoman"/>
      <w:lvlText w:val="%6."/>
      <w:lvlJc w:val="right"/>
      <w:pPr>
        <w:ind w:left="3535" w:hanging="180"/>
      </w:pPr>
    </w:lvl>
    <w:lvl w:ilvl="6" w:tplc="4009000F" w:tentative="1">
      <w:start w:val="1"/>
      <w:numFmt w:val="decimal"/>
      <w:lvlText w:val="%7."/>
      <w:lvlJc w:val="left"/>
      <w:pPr>
        <w:ind w:left="4255" w:hanging="360"/>
      </w:pPr>
    </w:lvl>
    <w:lvl w:ilvl="7" w:tplc="40090019" w:tentative="1">
      <w:start w:val="1"/>
      <w:numFmt w:val="lowerLetter"/>
      <w:lvlText w:val="%8."/>
      <w:lvlJc w:val="left"/>
      <w:pPr>
        <w:ind w:left="4975" w:hanging="360"/>
      </w:pPr>
    </w:lvl>
    <w:lvl w:ilvl="8" w:tplc="4009001B" w:tentative="1">
      <w:start w:val="1"/>
      <w:numFmt w:val="lowerRoman"/>
      <w:lvlText w:val="%9."/>
      <w:lvlJc w:val="right"/>
      <w:pPr>
        <w:ind w:left="5695" w:hanging="180"/>
      </w:pPr>
    </w:lvl>
  </w:abstractNum>
  <w:abstractNum w:abstractNumId="7" w15:restartNumberingAfterBreak="0">
    <w:nsid w:val="1F3E454A"/>
    <w:multiLevelType w:val="multilevel"/>
    <w:tmpl w:val="C9A07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8D4304"/>
    <w:multiLevelType w:val="multilevel"/>
    <w:tmpl w:val="4AB2F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927C9D"/>
    <w:multiLevelType w:val="multilevel"/>
    <w:tmpl w:val="CD68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E32252"/>
    <w:multiLevelType w:val="multilevel"/>
    <w:tmpl w:val="C652B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D777AA"/>
    <w:multiLevelType w:val="hybridMultilevel"/>
    <w:tmpl w:val="F014CEF8"/>
    <w:lvl w:ilvl="0" w:tplc="76681484">
      <w:start w:val="1"/>
      <w:numFmt w:val="lowerRoman"/>
      <w:lvlText w:val="%1."/>
      <w:lvlJc w:val="left"/>
      <w:pPr>
        <w:ind w:left="770" w:hanging="466"/>
        <w:jc w:val="right"/>
      </w:pPr>
      <w:rPr>
        <w:rFonts w:ascii="Times New Roman" w:eastAsia="Times New Roman" w:hAnsi="Times New Roman" w:cs="Times New Roman" w:hint="default"/>
        <w:b w:val="0"/>
        <w:bCs w:val="0"/>
        <w:i w:val="0"/>
        <w:iCs w:val="0"/>
        <w:spacing w:val="-1"/>
        <w:w w:val="99"/>
        <w:sz w:val="20"/>
        <w:szCs w:val="20"/>
        <w:lang w:val="en-US" w:eastAsia="en-US" w:bidi="ar-SA"/>
      </w:rPr>
    </w:lvl>
    <w:lvl w:ilvl="1" w:tplc="55E47636">
      <w:numFmt w:val="bullet"/>
      <w:lvlText w:val="•"/>
      <w:lvlJc w:val="left"/>
      <w:pPr>
        <w:ind w:left="1212" w:hanging="466"/>
      </w:pPr>
      <w:rPr>
        <w:rFonts w:hint="default"/>
        <w:lang w:val="en-US" w:eastAsia="en-US" w:bidi="ar-SA"/>
      </w:rPr>
    </w:lvl>
    <w:lvl w:ilvl="2" w:tplc="6F940B4E">
      <w:numFmt w:val="bullet"/>
      <w:lvlText w:val="•"/>
      <w:lvlJc w:val="left"/>
      <w:pPr>
        <w:ind w:left="1644" w:hanging="466"/>
      </w:pPr>
      <w:rPr>
        <w:rFonts w:hint="default"/>
        <w:lang w:val="en-US" w:eastAsia="en-US" w:bidi="ar-SA"/>
      </w:rPr>
    </w:lvl>
    <w:lvl w:ilvl="3" w:tplc="F6281D0E">
      <w:numFmt w:val="bullet"/>
      <w:lvlText w:val="•"/>
      <w:lvlJc w:val="left"/>
      <w:pPr>
        <w:ind w:left="2076" w:hanging="466"/>
      </w:pPr>
      <w:rPr>
        <w:rFonts w:hint="default"/>
        <w:lang w:val="en-US" w:eastAsia="en-US" w:bidi="ar-SA"/>
      </w:rPr>
    </w:lvl>
    <w:lvl w:ilvl="4" w:tplc="E150445C">
      <w:numFmt w:val="bullet"/>
      <w:lvlText w:val="•"/>
      <w:lvlJc w:val="left"/>
      <w:pPr>
        <w:ind w:left="2508" w:hanging="466"/>
      </w:pPr>
      <w:rPr>
        <w:rFonts w:hint="default"/>
        <w:lang w:val="en-US" w:eastAsia="en-US" w:bidi="ar-SA"/>
      </w:rPr>
    </w:lvl>
    <w:lvl w:ilvl="5" w:tplc="ED8840E2">
      <w:numFmt w:val="bullet"/>
      <w:lvlText w:val="•"/>
      <w:lvlJc w:val="left"/>
      <w:pPr>
        <w:ind w:left="2940" w:hanging="466"/>
      </w:pPr>
      <w:rPr>
        <w:rFonts w:hint="default"/>
        <w:lang w:val="en-US" w:eastAsia="en-US" w:bidi="ar-SA"/>
      </w:rPr>
    </w:lvl>
    <w:lvl w:ilvl="6" w:tplc="6F0A419A">
      <w:numFmt w:val="bullet"/>
      <w:lvlText w:val="•"/>
      <w:lvlJc w:val="left"/>
      <w:pPr>
        <w:ind w:left="3372" w:hanging="466"/>
      </w:pPr>
      <w:rPr>
        <w:rFonts w:hint="default"/>
        <w:lang w:val="en-US" w:eastAsia="en-US" w:bidi="ar-SA"/>
      </w:rPr>
    </w:lvl>
    <w:lvl w:ilvl="7" w:tplc="107257DC">
      <w:numFmt w:val="bullet"/>
      <w:lvlText w:val="•"/>
      <w:lvlJc w:val="left"/>
      <w:pPr>
        <w:ind w:left="3804" w:hanging="466"/>
      </w:pPr>
      <w:rPr>
        <w:rFonts w:hint="default"/>
        <w:lang w:val="en-US" w:eastAsia="en-US" w:bidi="ar-SA"/>
      </w:rPr>
    </w:lvl>
    <w:lvl w:ilvl="8" w:tplc="12605C82">
      <w:numFmt w:val="bullet"/>
      <w:lvlText w:val="•"/>
      <w:lvlJc w:val="left"/>
      <w:pPr>
        <w:ind w:left="4236" w:hanging="466"/>
      </w:pPr>
      <w:rPr>
        <w:rFonts w:hint="default"/>
        <w:lang w:val="en-US" w:eastAsia="en-US" w:bidi="ar-SA"/>
      </w:rPr>
    </w:lvl>
  </w:abstractNum>
  <w:abstractNum w:abstractNumId="12" w15:restartNumberingAfterBreak="0">
    <w:nsid w:val="47DF0BCB"/>
    <w:multiLevelType w:val="multilevel"/>
    <w:tmpl w:val="4744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C3412E"/>
    <w:multiLevelType w:val="multilevel"/>
    <w:tmpl w:val="67967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650B5B"/>
    <w:multiLevelType w:val="hybridMultilevel"/>
    <w:tmpl w:val="8CFAB7B2"/>
    <w:lvl w:ilvl="0" w:tplc="B9800442">
      <w:start w:val="1"/>
      <w:numFmt w:val="decimal"/>
      <w:lvlText w:val="[%1]"/>
      <w:lvlJc w:val="left"/>
      <w:pPr>
        <w:ind w:left="480" w:hanging="354"/>
      </w:pPr>
      <w:rPr>
        <w:rFonts w:ascii="Times New Roman" w:eastAsia="Times New Roman" w:hAnsi="Times New Roman" w:cs="Times New Roman" w:hint="default"/>
        <w:b w:val="0"/>
        <w:bCs w:val="0"/>
        <w:i w:val="0"/>
        <w:iCs w:val="0"/>
        <w:spacing w:val="-1"/>
        <w:w w:val="100"/>
        <w:sz w:val="16"/>
        <w:szCs w:val="16"/>
        <w:lang w:val="en-US" w:eastAsia="en-US" w:bidi="ar-SA"/>
      </w:rPr>
    </w:lvl>
    <w:lvl w:ilvl="1" w:tplc="93F2461C">
      <w:numFmt w:val="bullet"/>
      <w:lvlText w:val="•"/>
      <w:lvlJc w:val="left"/>
      <w:pPr>
        <w:ind w:left="942" w:hanging="354"/>
      </w:pPr>
      <w:rPr>
        <w:rFonts w:hint="default"/>
        <w:lang w:val="en-US" w:eastAsia="en-US" w:bidi="ar-SA"/>
      </w:rPr>
    </w:lvl>
    <w:lvl w:ilvl="2" w:tplc="F25C61B2">
      <w:numFmt w:val="bullet"/>
      <w:lvlText w:val="•"/>
      <w:lvlJc w:val="left"/>
      <w:pPr>
        <w:ind w:left="1404" w:hanging="354"/>
      </w:pPr>
      <w:rPr>
        <w:rFonts w:hint="default"/>
        <w:lang w:val="en-US" w:eastAsia="en-US" w:bidi="ar-SA"/>
      </w:rPr>
    </w:lvl>
    <w:lvl w:ilvl="3" w:tplc="4C5CEFE8">
      <w:numFmt w:val="bullet"/>
      <w:lvlText w:val="•"/>
      <w:lvlJc w:val="left"/>
      <w:pPr>
        <w:ind w:left="1866" w:hanging="354"/>
      </w:pPr>
      <w:rPr>
        <w:rFonts w:hint="default"/>
        <w:lang w:val="en-US" w:eastAsia="en-US" w:bidi="ar-SA"/>
      </w:rPr>
    </w:lvl>
    <w:lvl w:ilvl="4" w:tplc="18D27E96">
      <w:numFmt w:val="bullet"/>
      <w:lvlText w:val="•"/>
      <w:lvlJc w:val="left"/>
      <w:pPr>
        <w:ind w:left="2328" w:hanging="354"/>
      </w:pPr>
      <w:rPr>
        <w:rFonts w:hint="default"/>
        <w:lang w:val="en-US" w:eastAsia="en-US" w:bidi="ar-SA"/>
      </w:rPr>
    </w:lvl>
    <w:lvl w:ilvl="5" w:tplc="B86A4E8E">
      <w:numFmt w:val="bullet"/>
      <w:lvlText w:val="•"/>
      <w:lvlJc w:val="left"/>
      <w:pPr>
        <w:ind w:left="2790" w:hanging="354"/>
      </w:pPr>
      <w:rPr>
        <w:rFonts w:hint="default"/>
        <w:lang w:val="en-US" w:eastAsia="en-US" w:bidi="ar-SA"/>
      </w:rPr>
    </w:lvl>
    <w:lvl w:ilvl="6" w:tplc="2924C124">
      <w:numFmt w:val="bullet"/>
      <w:lvlText w:val="•"/>
      <w:lvlJc w:val="left"/>
      <w:pPr>
        <w:ind w:left="3252" w:hanging="354"/>
      </w:pPr>
      <w:rPr>
        <w:rFonts w:hint="default"/>
        <w:lang w:val="en-US" w:eastAsia="en-US" w:bidi="ar-SA"/>
      </w:rPr>
    </w:lvl>
    <w:lvl w:ilvl="7" w:tplc="0BC833FC">
      <w:numFmt w:val="bullet"/>
      <w:lvlText w:val="•"/>
      <w:lvlJc w:val="left"/>
      <w:pPr>
        <w:ind w:left="3714" w:hanging="354"/>
      </w:pPr>
      <w:rPr>
        <w:rFonts w:hint="default"/>
        <w:lang w:val="en-US" w:eastAsia="en-US" w:bidi="ar-SA"/>
      </w:rPr>
    </w:lvl>
    <w:lvl w:ilvl="8" w:tplc="91AAC552">
      <w:numFmt w:val="bullet"/>
      <w:lvlText w:val="•"/>
      <w:lvlJc w:val="left"/>
      <w:pPr>
        <w:ind w:left="4176" w:hanging="354"/>
      </w:pPr>
      <w:rPr>
        <w:rFonts w:hint="default"/>
        <w:lang w:val="en-US" w:eastAsia="en-US" w:bidi="ar-SA"/>
      </w:rPr>
    </w:lvl>
  </w:abstractNum>
  <w:abstractNum w:abstractNumId="15" w15:restartNumberingAfterBreak="0">
    <w:nsid w:val="55600FC0"/>
    <w:multiLevelType w:val="hybridMultilevel"/>
    <w:tmpl w:val="FA32012A"/>
    <w:lvl w:ilvl="0" w:tplc="04C65EFA">
      <w:start w:val="1"/>
      <w:numFmt w:val="upperRoman"/>
      <w:lvlText w:val="%1."/>
      <w:lvlJc w:val="left"/>
      <w:pPr>
        <w:ind w:left="2057" w:hanging="274"/>
        <w:jc w:val="right"/>
      </w:pPr>
      <w:rPr>
        <w:rFonts w:hint="default"/>
        <w:spacing w:val="0"/>
        <w:w w:val="99"/>
        <w:lang w:val="en-US" w:eastAsia="en-US" w:bidi="ar-SA"/>
      </w:rPr>
    </w:lvl>
    <w:lvl w:ilvl="1" w:tplc="2E6AF1E4">
      <w:numFmt w:val="bullet"/>
      <w:lvlText w:val="•"/>
      <w:lvlJc w:val="left"/>
      <w:pPr>
        <w:ind w:left="2357" w:hanging="274"/>
      </w:pPr>
      <w:rPr>
        <w:rFonts w:hint="default"/>
        <w:lang w:val="en-US" w:eastAsia="en-US" w:bidi="ar-SA"/>
      </w:rPr>
    </w:lvl>
    <w:lvl w:ilvl="2" w:tplc="46F8E750">
      <w:numFmt w:val="bullet"/>
      <w:lvlText w:val="•"/>
      <w:lvlJc w:val="left"/>
      <w:pPr>
        <w:ind w:left="2654" w:hanging="274"/>
      </w:pPr>
      <w:rPr>
        <w:rFonts w:hint="default"/>
        <w:lang w:val="en-US" w:eastAsia="en-US" w:bidi="ar-SA"/>
      </w:rPr>
    </w:lvl>
    <w:lvl w:ilvl="3" w:tplc="965CBD80">
      <w:numFmt w:val="bullet"/>
      <w:lvlText w:val="•"/>
      <w:lvlJc w:val="left"/>
      <w:pPr>
        <w:ind w:left="2952" w:hanging="274"/>
      </w:pPr>
      <w:rPr>
        <w:rFonts w:hint="default"/>
        <w:lang w:val="en-US" w:eastAsia="en-US" w:bidi="ar-SA"/>
      </w:rPr>
    </w:lvl>
    <w:lvl w:ilvl="4" w:tplc="7608741C">
      <w:numFmt w:val="bullet"/>
      <w:lvlText w:val="•"/>
      <w:lvlJc w:val="left"/>
      <w:pPr>
        <w:ind w:left="3249" w:hanging="274"/>
      </w:pPr>
      <w:rPr>
        <w:rFonts w:hint="default"/>
        <w:lang w:val="en-US" w:eastAsia="en-US" w:bidi="ar-SA"/>
      </w:rPr>
    </w:lvl>
    <w:lvl w:ilvl="5" w:tplc="F35CAFD6">
      <w:numFmt w:val="bullet"/>
      <w:lvlText w:val="•"/>
      <w:lvlJc w:val="left"/>
      <w:pPr>
        <w:ind w:left="3547" w:hanging="274"/>
      </w:pPr>
      <w:rPr>
        <w:rFonts w:hint="default"/>
        <w:lang w:val="en-US" w:eastAsia="en-US" w:bidi="ar-SA"/>
      </w:rPr>
    </w:lvl>
    <w:lvl w:ilvl="6" w:tplc="5666DD20">
      <w:numFmt w:val="bullet"/>
      <w:lvlText w:val="•"/>
      <w:lvlJc w:val="left"/>
      <w:pPr>
        <w:ind w:left="3844" w:hanging="274"/>
      </w:pPr>
      <w:rPr>
        <w:rFonts w:hint="default"/>
        <w:lang w:val="en-US" w:eastAsia="en-US" w:bidi="ar-SA"/>
      </w:rPr>
    </w:lvl>
    <w:lvl w:ilvl="7" w:tplc="D31A0760">
      <w:numFmt w:val="bullet"/>
      <w:lvlText w:val="•"/>
      <w:lvlJc w:val="left"/>
      <w:pPr>
        <w:ind w:left="4142" w:hanging="274"/>
      </w:pPr>
      <w:rPr>
        <w:rFonts w:hint="default"/>
        <w:lang w:val="en-US" w:eastAsia="en-US" w:bidi="ar-SA"/>
      </w:rPr>
    </w:lvl>
    <w:lvl w:ilvl="8" w:tplc="3E1ADB92">
      <w:numFmt w:val="bullet"/>
      <w:lvlText w:val="•"/>
      <w:lvlJc w:val="left"/>
      <w:pPr>
        <w:ind w:left="4439" w:hanging="274"/>
      </w:pPr>
      <w:rPr>
        <w:rFonts w:hint="default"/>
        <w:lang w:val="en-US" w:eastAsia="en-US" w:bidi="ar-SA"/>
      </w:rPr>
    </w:lvl>
  </w:abstractNum>
  <w:abstractNum w:abstractNumId="16" w15:restartNumberingAfterBreak="0">
    <w:nsid w:val="57C73DDB"/>
    <w:multiLevelType w:val="hybridMultilevel"/>
    <w:tmpl w:val="0CE4FDB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97C24BC"/>
    <w:multiLevelType w:val="hybridMultilevel"/>
    <w:tmpl w:val="FFDC3AF4"/>
    <w:lvl w:ilvl="0" w:tplc="31A28A9E">
      <w:start w:val="1"/>
      <w:numFmt w:val="upperLetter"/>
      <w:lvlText w:val="%1."/>
      <w:lvlJc w:val="left"/>
      <w:pPr>
        <w:ind w:left="415" w:hanging="289"/>
      </w:pPr>
      <w:rPr>
        <w:rFonts w:ascii="Times New Roman" w:eastAsia="Times New Roman" w:hAnsi="Times New Roman" w:cs="Times New Roman" w:hint="default"/>
        <w:b w:val="0"/>
        <w:bCs w:val="0"/>
        <w:i/>
        <w:iCs/>
        <w:spacing w:val="0"/>
        <w:w w:val="99"/>
        <w:sz w:val="20"/>
        <w:szCs w:val="20"/>
        <w:lang w:val="en-US" w:eastAsia="en-US" w:bidi="ar-SA"/>
      </w:rPr>
    </w:lvl>
    <w:lvl w:ilvl="1" w:tplc="67F6A1BA">
      <w:start w:val="1"/>
      <w:numFmt w:val="decimal"/>
      <w:lvlText w:val="%2."/>
      <w:lvlJc w:val="left"/>
      <w:pPr>
        <w:ind w:left="328" w:hanging="201"/>
      </w:pPr>
      <w:rPr>
        <w:rFonts w:ascii="Times New Roman" w:eastAsia="Times New Roman" w:hAnsi="Times New Roman" w:cs="Times New Roman" w:hint="default"/>
        <w:b w:val="0"/>
        <w:bCs w:val="0"/>
        <w:i w:val="0"/>
        <w:iCs w:val="0"/>
        <w:spacing w:val="0"/>
        <w:w w:val="99"/>
        <w:sz w:val="20"/>
        <w:szCs w:val="20"/>
        <w:lang w:val="en-US" w:eastAsia="en-US" w:bidi="ar-SA"/>
      </w:rPr>
    </w:lvl>
    <w:lvl w:ilvl="2" w:tplc="FA4857C2">
      <w:numFmt w:val="bullet"/>
      <w:lvlText w:val="•"/>
      <w:lvlJc w:val="left"/>
      <w:pPr>
        <w:ind w:left="940" w:hanging="201"/>
      </w:pPr>
      <w:rPr>
        <w:rFonts w:hint="default"/>
        <w:lang w:val="en-US" w:eastAsia="en-US" w:bidi="ar-SA"/>
      </w:rPr>
    </w:lvl>
    <w:lvl w:ilvl="3" w:tplc="06DA4028">
      <w:numFmt w:val="bullet"/>
      <w:lvlText w:val="•"/>
      <w:lvlJc w:val="left"/>
      <w:pPr>
        <w:ind w:left="1460" w:hanging="201"/>
      </w:pPr>
      <w:rPr>
        <w:rFonts w:hint="default"/>
        <w:lang w:val="en-US" w:eastAsia="en-US" w:bidi="ar-SA"/>
      </w:rPr>
    </w:lvl>
    <w:lvl w:ilvl="4" w:tplc="CC741EB0">
      <w:numFmt w:val="bullet"/>
      <w:lvlText w:val="•"/>
      <w:lvlJc w:val="left"/>
      <w:pPr>
        <w:ind w:left="1980" w:hanging="201"/>
      </w:pPr>
      <w:rPr>
        <w:rFonts w:hint="default"/>
        <w:lang w:val="en-US" w:eastAsia="en-US" w:bidi="ar-SA"/>
      </w:rPr>
    </w:lvl>
    <w:lvl w:ilvl="5" w:tplc="A69C2586">
      <w:numFmt w:val="bullet"/>
      <w:lvlText w:val="•"/>
      <w:lvlJc w:val="left"/>
      <w:pPr>
        <w:ind w:left="2500" w:hanging="201"/>
      </w:pPr>
      <w:rPr>
        <w:rFonts w:hint="default"/>
        <w:lang w:val="en-US" w:eastAsia="en-US" w:bidi="ar-SA"/>
      </w:rPr>
    </w:lvl>
    <w:lvl w:ilvl="6" w:tplc="CBB8C7A0">
      <w:numFmt w:val="bullet"/>
      <w:lvlText w:val="•"/>
      <w:lvlJc w:val="left"/>
      <w:pPr>
        <w:ind w:left="3020" w:hanging="201"/>
      </w:pPr>
      <w:rPr>
        <w:rFonts w:hint="default"/>
        <w:lang w:val="en-US" w:eastAsia="en-US" w:bidi="ar-SA"/>
      </w:rPr>
    </w:lvl>
    <w:lvl w:ilvl="7" w:tplc="C0421B10">
      <w:numFmt w:val="bullet"/>
      <w:lvlText w:val="•"/>
      <w:lvlJc w:val="left"/>
      <w:pPr>
        <w:ind w:left="3540" w:hanging="201"/>
      </w:pPr>
      <w:rPr>
        <w:rFonts w:hint="default"/>
        <w:lang w:val="en-US" w:eastAsia="en-US" w:bidi="ar-SA"/>
      </w:rPr>
    </w:lvl>
    <w:lvl w:ilvl="8" w:tplc="A4EEEF94">
      <w:numFmt w:val="bullet"/>
      <w:lvlText w:val="•"/>
      <w:lvlJc w:val="left"/>
      <w:pPr>
        <w:ind w:left="4060" w:hanging="201"/>
      </w:pPr>
      <w:rPr>
        <w:rFonts w:hint="default"/>
        <w:lang w:val="en-US" w:eastAsia="en-US" w:bidi="ar-SA"/>
      </w:rPr>
    </w:lvl>
  </w:abstractNum>
  <w:abstractNum w:abstractNumId="18" w15:restartNumberingAfterBreak="0">
    <w:nsid w:val="59B001EF"/>
    <w:multiLevelType w:val="hybridMultilevel"/>
    <w:tmpl w:val="283CE0DC"/>
    <w:lvl w:ilvl="0" w:tplc="81342B00">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B7727B2"/>
    <w:multiLevelType w:val="hybridMultilevel"/>
    <w:tmpl w:val="4816F67E"/>
    <w:lvl w:ilvl="0" w:tplc="E14CB1DA">
      <w:numFmt w:val="bullet"/>
      <w:lvlText w:val=""/>
      <w:lvlJc w:val="left"/>
      <w:pPr>
        <w:ind w:left="487" w:hanging="361"/>
      </w:pPr>
      <w:rPr>
        <w:rFonts w:ascii="Wingdings" w:eastAsia="Wingdings" w:hAnsi="Wingdings" w:cs="Wingdings" w:hint="default"/>
        <w:b w:val="0"/>
        <w:bCs w:val="0"/>
        <w:i w:val="0"/>
        <w:iCs w:val="0"/>
        <w:spacing w:val="0"/>
        <w:w w:val="99"/>
        <w:sz w:val="20"/>
        <w:szCs w:val="20"/>
        <w:lang w:val="en-US" w:eastAsia="en-US" w:bidi="ar-SA"/>
      </w:rPr>
    </w:lvl>
    <w:lvl w:ilvl="1" w:tplc="8E62C7AA">
      <w:numFmt w:val="bullet"/>
      <w:lvlText w:val=""/>
      <w:lvlJc w:val="left"/>
      <w:pPr>
        <w:ind w:left="912" w:hanging="360"/>
      </w:pPr>
      <w:rPr>
        <w:rFonts w:ascii="Symbol" w:eastAsia="Symbol" w:hAnsi="Symbol" w:cs="Symbol" w:hint="default"/>
        <w:b w:val="0"/>
        <w:bCs w:val="0"/>
        <w:i w:val="0"/>
        <w:iCs w:val="0"/>
        <w:spacing w:val="0"/>
        <w:w w:val="99"/>
        <w:sz w:val="20"/>
        <w:szCs w:val="20"/>
        <w:lang w:val="en-US" w:eastAsia="en-US" w:bidi="ar-SA"/>
      </w:rPr>
    </w:lvl>
    <w:lvl w:ilvl="2" w:tplc="655009CE">
      <w:numFmt w:val="bullet"/>
      <w:lvlText w:val="•"/>
      <w:lvlJc w:val="left"/>
      <w:pPr>
        <w:ind w:left="796" w:hanging="360"/>
      </w:pPr>
      <w:rPr>
        <w:rFonts w:hint="default"/>
        <w:lang w:val="en-US" w:eastAsia="en-US" w:bidi="ar-SA"/>
      </w:rPr>
    </w:lvl>
    <w:lvl w:ilvl="3" w:tplc="8844FCD8">
      <w:numFmt w:val="bullet"/>
      <w:lvlText w:val="•"/>
      <w:lvlJc w:val="left"/>
      <w:pPr>
        <w:ind w:left="673" w:hanging="360"/>
      </w:pPr>
      <w:rPr>
        <w:rFonts w:hint="default"/>
        <w:lang w:val="en-US" w:eastAsia="en-US" w:bidi="ar-SA"/>
      </w:rPr>
    </w:lvl>
    <w:lvl w:ilvl="4" w:tplc="8DE072AA">
      <w:numFmt w:val="bullet"/>
      <w:lvlText w:val="•"/>
      <w:lvlJc w:val="left"/>
      <w:pPr>
        <w:ind w:left="549" w:hanging="360"/>
      </w:pPr>
      <w:rPr>
        <w:rFonts w:hint="default"/>
        <w:lang w:val="en-US" w:eastAsia="en-US" w:bidi="ar-SA"/>
      </w:rPr>
    </w:lvl>
    <w:lvl w:ilvl="5" w:tplc="84CAD3F6">
      <w:numFmt w:val="bullet"/>
      <w:lvlText w:val="•"/>
      <w:lvlJc w:val="left"/>
      <w:pPr>
        <w:ind w:left="426" w:hanging="360"/>
      </w:pPr>
      <w:rPr>
        <w:rFonts w:hint="default"/>
        <w:lang w:val="en-US" w:eastAsia="en-US" w:bidi="ar-SA"/>
      </w:rPr>
    </w:lvl>
    <w:lvl w:ilvl="6" w:tplc="2FD0BD56">
      <w:numFmt w:val="bullet"/>
      <w:lvlText w:val="•"/>
      <w:lvlJc w:val="left"/>
      <w:pPr>
        <w:ind w:left="303" w:hanging="360"/>
      </w:pPr>
      <w:rPr>
        <w:rFonts w:hint="default"/>
        <w:lang w:val="en-US" w:eastAsia="en-US" w:bidi="ar-SA"/>
      </w:rPr>
    </w:lvl>
    <w:lvl w:ilvl="7" w:tplc="1AD479B0">
      <w:numFmt w:val="bullet"/>
      <w:lvlText w:val="•"/>
      <w:lvlJc w:val="left"/>
      <w:pPr>
        <w:ind w:left="179" w:hanging="360"/>
      </w:pPr>
      <w:rPr>
        <w:rFonts w:hint="default"/>
        <w:lang w:val="en-US" w:eastAsia="en-US" w:bidi="ar-SA"/>
      </w:rPr>
    </w:lvl>
    <w:lvl w:ilvl="8" w:tplc="DE0CFE4E">
      <w:numFmt w:val="bullet"/>
      <w:lvlText w:val="•"/>
      <w:lvlJc w:val="left"/>
      <w:pPr>
        <w:ind w:left="56" w:hanging="360"/>
      </w:pPr>
      <w:rPr>
        <w:rFonts w:hint="default"/>
        <w:lang w:val="en-US" w:eastAsia="en-US" w:bidi="ar-SA"/>
      </w:rPr>
    </w:lvl>
  </w:abstractNum>
  <w:abstractNum w:abstractNumId="20" w15:restartNumberingAfterBreak="0">
    <w:nsid w:val="5D8B55A5"/>
    <w:multiLevelType w:val="multilevel"/>
    <w:tmpl w:val="DFC40D94"/>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9B590B"/>
    <w:multiLevelType w:val="hybridMultilevel"/>
    <w:tmpl w:val="33D25E34"/>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1844DD2"/>
    <w:multiLevelType w:val="multilevel"/>
    <w:tmpl w:val="4958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4D0678"/>
    <w:multiLevelType w:val="multilevel"/>
    <w:tmpl w:val="9C8E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283C30"/>
    <w:multiLevelType w:val="hybridMultilevel"/>
    <w:tmpl w:val="4D701DA8"/>
    <w:lvl w:ilvl="0" w:tplc="2382B97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C636238"/>
    <w:multiLevelType w:val="multilevel"/>
    <w:tmpl w:val="A9B05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400F69"/>
    <w:multiLevelType w:val="hybridMultilevel"/>
    <w:tmpl w:val="A8E867D6"/>
    <w:lvl w:ilvl="0" w:tplc="1BB42CD0">
      <w:start w:val="1"/>
      <w:numFmt w:val="lowerRoman"/>
      <w:lvlText w:val="%1."/>
      <w:lvlJc w:val="left"/>
      <w:pPr>
        <w:ind w:left="770" w:hanging="467"/>
        <w:jc w:val="right"/>
      </w:pPr>
      <w:rPr>
        <w:rFonts w:ascii="Times New Roman" w:eastAsia="Times New Roman" w:hAnsi="Times New Roman" w:cs="Times New Roman" w:hint="default"/>
        <w:b w:val="0"/>
        <w:bCs w:val="0"/>
        <w:i w:val="0"/>
        <w:iCs w:val="0"/>
        <w:spacing w:val="-1"/>
        <w:w w:val="99"/>
        <w:sz w:val="20"/>
        <w:szCs w:val="20"/>
        <w:lang w:val="en-US" w:eastAsia="en-US" w:bidi="ar-SA"/>
      </w:rPr>
    </w:lvl>
    <w:lvl w:ilvl="1" w:tplc="84EA9586">
      <w:numFmt w:val="bullet"/>
      <w:lvlText w:val=""/>
      <w:lvlJc w:val="left"/>
      <w:pPr>
        <w:ind w:left="629" w:hanging="361"/>
      </w:pPr>
      <w:rPr>
        <w:rFonts w:ascii="Wingdings" w:eastAsia="Wingdings" w:hAnsi="Wingdings" w:cs="Wingdings" w:hint="default"/>
        <w:b w:val="0"/>
        <w:bCs w:val="0"/>
        <w:i w:val="0"/>
        <w:iCs w:val="0"/>
        <w:spacing w:val="0"/>
        <w:w w:val="99"/>
        <w:sz w:val="20"/>
        <w:szCs w:val="20"/>
        <w:lang w:val="en-US" w:eastAsia="en-US" w:bidi="ar-SA"/>
      </w:rPr>
    </w:lvl>
    <w:lvl w:ilvl="2" w:tplc="C62E6982">
      <w:numFmt w:val="bullet"/>
      <w:lvlText w:val=""/>
      <w:lvlJc w:val="left"/>
      <w:pPr>
        <w:ind w:left="1195" w:hanging="360"/>
      </w:pPr>
      <w:rPr>
        <w:rFonts w:ascii="Symbol" w:eastAsia="Symbol" w:hAnsi="Symbol" w:cs="Symbol" w:hint="default"/>
        <w:b w:val="0"/>
        <w:bCs w:val="0"/>
        <w:i w:val="0"/>
        <w:iCs w:val="0"/>
        <w:spacing w:val="0"/>
        <w:w w:val="99"/>
        <w:sz w:val="20"/>
        <w:szCs w:val="20"/>
        <w:lang w:val="en-US" w:eastAsia="en-US" w:bidi="ar-SA"/>
      </w:rPr>
    </w:lvl>
    <w:lvl w:ilvl="3" w:tplc="0BB6862E">
      <w:numFmt w:val="bullet"/>
      <w:lvlText w:val="•"/>
      <w:lvlJc w:val="left"/>
      <w:pPr>
        <w:ind w:left="1679" w:hanging="360"/>
      </w:pPr>
      <w:rPr>
        <w:rFonts w:hint="default"/>
        <w:lang w:val="en-US" w:eastAsia="en-US" w:bidi="ar-SA"/>
      </w:rPr>
    </w:lvl>
    <w:lvl w:ilvl="4" w:tplc="204AFC36">
      <w:numFmt w:val="bullet"/>
      <w:lvlText w:val="•"/>
      <w:lvlJc w:val="left"/>
      <w:pPr>
        <w:ind w:left="2159" w:hanging="360"/>
      </w:pPr>
      <w:rPr>
        <w:rFonts w:hint="default"/>
        <w:lang w:val="en-US" w:eastAsia="en-US" w:bidi="ar-SA"/>
      </w:rPr>
    </w:lvl>
    <w:lvl w:ilvl="5" w:tplc="50AE9A46">
      <w:numFmt w:val="bullet"/>
      <w:lvlText w:val="•"/>
      <w:lvlJc w:val="left"/>
      <w:pPr>
        <w:ind w:left="2638" w:hanging="360"/>
      </w:pPr>
      <w:rPr>
        <w:rFonts w:hint="default"/>
        <w:lang w:val="en-US" w:eastAsia="en-US" w:bidi="ar-SA"/>
      </w:rPr>
    </w:lvl>
    <w:lvl w:ilvl="6" w:tplc="128C0866">
      <w:numFmt w:val="bullet"/>
      <w:lvlText w:val="•"/>
      <w:lvlJc w:val="left"/>
      <w:pPr>
        <w:ind w:left="3118" w:hanging="360"/>
      </w:pPr>
      <w:rPr>
        <w:rFonts w:hint="default"/>
        <w:lang w:val="en-US" w:eastAsia="en-US" w:bidi="ar-SA"/>
      </w:rPr>
    </w:lvl>
    <w:lvl w:ilvl="7" w:tplc="8A3A5686">
      <w:numFmt w:val="bullet"/>
      <w:lvlText w:val="•"/>
      <w:lvlJc w:val="left"/>
      <w:pPr>
        <w:ind w:left="3597" w:hanging="360"/>
      </w:pPr>
      <w:rPr>
        <w:rFonts w:hint="default"/>
        <w:lang w:val="en-US" w:eastAsia="en-US" w:bidi="ar-SA"/>
      </w:rPr>
    </w:lvl>
    <w:lvl w:ilvl="8" w:tplc="C2AE21BA">
      <w:numFmt w:val="bullet"/>
      <w:lvlText w:val="•"/>
      <w:lvlJc w:val="left"/>
      <w:pPr>
        <w:ind w:left="4077" w:hanging="360"/>
      </w:pPr>
      <w:rPr>
        <w:rFonts w:hint="default"/>
        <w:lang w:val="en-US" w:eastAsia="en-US" w:bidi="ar-SA"/>
      </w:rPr>
    </w:lvl>
  </w:abstractNum>
  <w:abstractNum w:abstractNumId="27" w15:restartNumberingAfterBreak="0">
    <w:nsid w:val="6FFC74B1"/>
    <w:multiLevelType w:val="hybridMultilevel"/>
    <w:tmpl w:val="125EDF20"/>
    <w:lvl w:ilvl="0" w:tplc="64FC97D0">
      <w:start w:val="1"/>
      <w:numFmt w:val="lowerLetter"/>
      <w:lvlText w:val="%1."/>
      <w:lvlJc w:val="left"/>
      <w:pPr>
        <w:ind w:left="127" w:hanging="219"/>
      </w:pPr>
      <w:rPr>
        <w:rFonts w:ascii="Times New Roman" w:eastAsia="Times New Roman" w:hAnsi="Times New Roman" w:cs="Times New Roman" w:hint="default"/>
        <w:b w:val="0"/>
        <w:bCs w:val="0"/>
        <w:i w:val="0"/>
        <w:iCs w:val="0"/>
        <w:spacing w:val="0"/>
        <w:w w:val="99"/>
        <w:sz w:val="20"/>
        <w:szCs w:val="20"/>
        <w:lang w:val="en-US" w:eastAsia="en-US" w:bidi="ar-SA"/>
      </w:rPr>
    </w:lvl>
    <w:lvl w:ilvl="1" w:tplc="7C6CD572">
      <w:numFmt w:val="bullet"/>
      <w:lvlText w:val="•"/>
      <w:lvlJc w:val="left"/>
      <w:pPr>
        <w:ind w:left="611" w:hanging="219"/>
      </w:pPr>
      <w:rPr>
        <w:rFonts w:hint="default"/>
        <w:lang w:val="en-US" w:eastAsia="en-US" w:bidi="ar-SA"/>
      </w:rPr>
    </w:lvl>
    <w:lvl w:ilvl="2" w:tplc="03D2EB5A">
      <w:numFmt w:val="bullet"/>
      <w:lvlText w:val="•"/>
      <w:lvlJc w:val="left"/>
      <w:pPr>
        <w:ind w:left="1103" w:hanging="219"/>
      </w:pPr>
      <w:rPr>
        <w:rFonts w:hint="default"/>
        <w:lang w:val="en-US" w:eastAsia="en-US" w:bidi="ar-SA"/>
      </w:rPr>
    </w:lvl>
    <w:lvl w:ilvl="3" w:tplc="68F604F4">
      <w:numFmt w:val="bullet"/>
      <w:lvlText w:val="•"/>
      <w:lvlJc w:val="left"/>
      <w:pPr>
        <w:ind w:left="1594" w:hanging="219"/>
      </w:pPr>
      <w:rPr>
        <w:rFonts w:hint="default"/>
        <w:lang w:val="en-US" w:eastAsia="en-US" w:bidi="ar-SA"/>
      </w:rPr>
    </w:lvl>
    <w:lvl w:ilvl="4" w:tplc="84C608D8">
      <w:numFmt w:val="bullet"/>
      <w:lvlText w:val="•"/>
      <w:lvlJc w:val="left"/>
      <w:pPr>
        <w:ind w:left="2086" w:hanging="219"/>
      </w:pPr>
      <w:rPr>
        <w:rFonts w:hint="default"/>
        <w:lang w:val="en-US" w:eastAsia="en-US" w:bidi="ar-SA"/>
      </w:rPr>
    </w:lvl>
    <w:lvl w:ilvl="5" w:tplc="9498FDD2">
      <w:numFmt w:val="bullet"/>
      <w:lvlText w:val="•"/>
      <w:lvlJc w:val="left"/>
      <w:pPr>
        <w:ind w:left="2578" w:hanging="219"/>
      </w:pPr>
      <w:rPr>
        <w:rFonts w:hint="default"/>
        <w:lang w:val="en-US" w:eastAsia="en-US" w:bidi="ar-SA"/>
      </w:rPr>
    </w:lvl>
    <w:lvl w:ilvl="6" w:tplc="0F8CB18C">
      <w:numFmt w:val="bullet"/>
      <w:lvlText w:val="•"/>
      <w:lvlJc w:val="left"/>
      <w:pPr>
        <w:ind w:left="3069" w:hanging="219"/>
      </w:pPr>
      <w:rPr>
        <w:rFonts w:hint="default"/>
        <w:lang w:val="en-US" w:eastAsia="en-US" w:bidi="ar-SA"/>
      </w:rPr>
    </w:lvl>
    <w:lvl w:ilvl="7" w:tplc="CAA248FC">
      <w:numFmt w:val="bullet"/>
      <w:lvlText w:val="•"/>
      <w:lvlJc w:val="left"/>
      <w:pPr>
        <w:ind w:left="3561" w:hanging="219"/>
      </w:pPr>
      <w:rPr>
        <w:rFonts w:hint="default"/>
        <w:lang w:val="en-US" w:eastAsia="en-US" w:bidi="ar-SA"/>
      </w:rPr>
    </w:lvl>
    <w:lvl w:ilvl="8" w:tplc="6958B49C">
      <w:numFmt w:val="bullet"/>
      <w:lvlText w:val="•"/>
      <w:lvlJc w:val="left"/>
      <w:pPr>
        <w:ind w:left="4053" w:hanging="219"/>
      </w:pPr>
      <w:rPr>
        <w:rFonts w:hint="default"/>
        <w:lang w:val="en-US" w:eastAsia="en-US" w:bidi="ar-SA"/>
      </w:rPr>
    </w:lvl>
  </w:abstractNum>
  <w:abstractNum w:abstractNumId="28" w15:restartNumberingAfterBreak="0">
    <w:nsid w:val="711E52B7"/>
    <w:multiLevelType w:val="multilevel"/>
    <w:tmpl w:val="DD5CA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A92EEE"/>
    <w:multiLevelType w:val="hybridMultilevel"/>
    <w:tmpl w:val="FA32012A"/>
    <w:lvl w:ilvl="0" w:tplc="FFFFFFFF">
      <w:start w:val="1"/>
      <w:numFmt w:val="upperRoman"/>
      <w:lvlText w:val="%1."/>
      <w:lvlJc w:val="left"/>
      <w:pPr>
        <w:ind w:left="2057" w:hanging="274"/>
        <w:jc w:val="right"/>
      </w:pPr>
      <w:rPr>
        <w:rFonts w:hint="default"/>
        <w:spacing w:val="0"/>
        <w:w w:val="99"/>
        <w:lang w:val="en-US" w:eastAsia="en-US" w:bidi="ar-SA"/>
      </w:rPr>
    </w:lvl>
    <w:lvl w:ilvl="1" w:tplc="FFFFFFFF">
      <w:numFmt w:val="bullet"/>
      <w:lvlText w:val="•"/>
      <w:lvlJc w:val="left"/>
      <w:pPr>
        <w:ind w:left="2357" w:hanging="274"/>
      </w:pPr>
      <w:rPr>
        <w:rFonts w:hint="default"/>
        <w:lang w:val="en-US" w:eastAsia="en-US" w:bidi="ar-SA"/>
      </w:rPr>
    </w:lvl>
    <w:lvl w:ilvl="2" w:tplc="FFFFFFFF">
      <w:numFmt w:val="bullet"/>
      <w:lvlText w:val="•"/>
      <w:lvlJc w:val="left"/>
      <w:pPr>
        <w:ind w:left="2654" w:hanging="274"/>
      </w:pPr>
      <w:rPr>
        <w:rFonts w:hint="default"/>
        <w:lang w:val="en-US" w:eastAsia="en-US" w:bidi="ar-SA"/>
      </w:rPr>
    </w:lvl>
    <w:lvl w:ilvl="3" w:tplc="FFFFFFFF">
      <w:numFmt w:val="bullet"/>
      <w:lvlText w:val="•"/>
      <w:lvlJc w:val="left"/>
      <w:pPr>
        <w:ind w:left="2952" w:hanging="274"/>
      </w:pPr>
      <w:rPr>
        <w:rFonts w:hint="default"/>
        <w:lang w:val="en-US" w:eastAsia="en-US" w:bidi="ar-SA"/>
      </w:rPr>
    </w:lvl>
    <w:lvl w:ilvl="4" w:tplc="FFFFFFFF">
      <w:numFmt w:val="bullet"/>
      <w:lvlText w:val="•"/>
      <w:lvlJc w:val="left"/>
      <w:pPr>
        <w:ind w:left="3249" w:hanging="274"/>
      </w:pPr>
      <w:rPr>
        <w:rFonts w:hint="default"/>
        <w:lang w:val="en-US" w:eastAsia="en-US" w:bidi="ar-SA"/>
      </w:rPr>
    </w:lvl>
    <w:lvl w:ilvl="5" w:tplc="FFFFFFFF">
      <w:numFmt w:val="bullet"/>
      <w:lvlText w:val="•"/>
      <w:lvlJc w:val="left"/>
      <w:pPr>
        <w:ind w:left="3547" w:hanging="274"/>
      </w:pPr>
      <w:rPr>
        <w:rFonts w:hint="default"/>
        <w:lang w:val="en-US" w:eastAsia="en-US" w:bidi="ar-SA"/>
      </w:rPr>
    </w:lvl>
    <w:lvl w:ilvl="6" w:tplc="FFFFFFFF">
      <w:numFmt w:val="bullet"/>
      <w:lvlText w:val="•"/>
      <w:lvlJc w:val="left"/>
      <w:pPr>
        <w:ind w:left="3844" w:hanging="274"/>
      </w:pPr>
      <w:rPr>
        <w:rFonts w:hint="default"/>
        <w:lang w:val="en-US" w:eastAsia="en-US" w:bidi="ar-SA"/>
      </w:rPr>
    </w:lvl>
    <w:lvl w:ilvl="7" w:tplc="FFFFFFFF">
      <w:numFmt w:val="bullet"/>
      <w:lvlText w:val="•"/>
      <w:lvlJc w:val="left"/>
      <w:pPr>
        <w:ind w:left="4142" w:hanging="274"/>
      </w:pPr>
      <w:rPr>
        <w:rFonts w:hint="default"/>
        <w:lang w:val="en-US" w:eastAsia="en-US" w:bidi="ar-SA"/>
      </w:rPr>
    </w:lvl>
    <w:lvl w:ilvl="8" w:tplc="FFFFFFFF">
      <w:numFmt w:val="bullet"/>
      <w:lvlText w:val="•"/>
      <w:lvlJc w:val="left"/>
      <w:pPr>
        <w:ind w:left="4439" w:hanging="274"/>
      </w:pPr>
      <w:rPr>
        <w:rFonts w:hint="default"/>
        <w:lang w:val="en-US" w:eastAsia="en-US" w:bidi="ar-SA"/>
      </w:rPr>
    </w:lvl>
  </w:abstractNum>
  <w:abstractNum w:abstractNumId="30" w15:restartNumberingAfterBreak="0">
    <w:nsid w:val="798B09BD"/>
    <w:multiLevelType w:val="hybridMultilevel"/>
    <w:tmpl w:val="B4CA5C3E"/>
    <w:lvl w:ilvl="0" w:tplc="3332735A">
      <w:start w:val="1"/>
      <w:numFmt w:val="lowerLetter"/>
      <w:lvlText w:val="%1."/>
      <w:lvlJc w:val="left"/>
      <w:pPr>
        <w:ind w:left="487" w:hanging="361"/>
      </w:pPr>
      <w:rPr>
        <w:rFonts w:ascii="Times New Roman" w:eastAsia="Times New Roman" w:hAnsi="Times New Roman" w:cs="Times New Roman" w:hint="default"/>
        <w:b w:val="0"/>
        <w:bCs w:val="0"/>
        <w:i w:val="0"/>
        <w:iCs w:val="0"/>
        <w:spacing w:val="0"/>
        <w:w w:val="99"/>
        <w:sz w:val="20"/>
        <w:szCs w:val="20"/>
        <w:lang w:val="en-US" w:eastAsia="en-US" w:bidi="ar-SA"/>
      </w:rPr>
    </w:lvl>
    <w:lvl w:ilvl="1" w:tplc="AE603934">
      <w:numFmt w:val="bullet"/>
      <w:lvlText w:val=""/>
      <w:lvlJc w:val="left"/>
      <w:pPr>
        <w:ind w:left="770" w:hanging="360"/>
      </w:pPr>
      <w:rPr>
        <w:rFonts w:ascii="Symbol" w:eastAsia="Symbol" w:hAnsi="Symbol" w:cs="Symbol" w:hint="default"/>
        <w:b w:val="0"/>
        <w:bCs w:val="0"/>
        <w:i w:val="0"/>
        <w:iCs w:val="0"/>
        <w:spacing w:val="0"/>
        <w:w w:val="99"/>
        <w:sz w:val="20"/>
        <w:szCs w:val="20"/>
        <w:lang w:val="en-US" w:eastAsia="en-US" w:bidi="ar-SA"/>
      </w:rPr>
    </w:lvl>
    <w:lvl w:ilvl="2" w:tplc="CB10C6BC">
      <w:numFmt w:val="bullet"/>
      <w:lvlText w:val="•"/>
      <w:lvlJc w:val="left"/>
      <w:pPr>
        <w:ind w:left="672" w:hanging="360"/>
      </w:pPr>
      <w:rPr>
        <w:rFonts w:hint="default"/>
        <w:lang w:val="en-US" w:eastAsia="en-US" w:bidi="ar-SA"/>
      </w:rPr>
    </w:lvl>
    <w:lvl w:ilvl="3" w:tplc="9796D28E">
      <w:numFmt w:val="bullet"/>
      <w:lvlText w:val="•"/>
      <w:lvlJc w:val="left"/>
      <w:pPr>
        <w:ind w:left="564" w:hanging="360"/>
      </w:pPr>
      <w:rPr>
        <w:rFonts w:hint="default"/>
        <w:lang w:val="en-US" w:eastAsia="en-US" w:bidi="ar-SA"/>
      </w:rPr>
    </w:lvl>
    <w:lvl w:ilvl="4" w:tplc="275E93A2">
      <w:numFmt w:val="bullet"/>
      <w:lvlText w:val="•"/>
      <w:lvlJc w:val="left"/>
      <w:pPr>
        <w:ind w:left="456" w:hanging="360"/>
      </w:pPr>
      <w:rPr>
        <w:rFonts w:hint="default"/>
        <w:lang w:val="en-US" w:eastAsia="en-US" w:bidi="ar-SA"/>
      </w:rPr>
    </w:lvl>
    <w:lvl w:ilvl="5" w:tplc="2D94D328">
      <w:numFmt w:val="bullet"/>
      <w:lvlText w:val="•"/>
      <w:lvlJc w:val="left"/>
      <w:pPr>
        <w:ind w:left="349" w:hanging="360"/>
      </w:pPr>
      <w:rPr>
        <w:rFonts w:hint="default"/>
        <w:lang w:val="en-US" w:eastAsia="en-US" w:bidi="ar-SA"/>
      </w:rPr>
    </w:lvl>
    <w:lvl w:ilvl="6" w:tplc="41C8FF8E">
      <w:numFmt w:val="bullet"/>
      <w:lvlText w:val="•"/>
      <w:lvlJc w:val="left"/>
      <w:pPr>
        <w:ind w:left="241" w:hanging="360"/>
      </w:pPr>
      <w:rPr>
        <w:rFonts w:hint="default"/>
        <w:lang w:val="en-US" w:eastAsia="en-US" w:bidi="ar-SA"/>
      </w:rPr>
    </w:lvl>
    <w:lvl w:ilvl="7" w:tplc="AB72DEEC">
      <w:numFmt w:val="bullet"/>
      <w:lvlText w:val="•"/>
      <w:lvlJc w:val="left"/>
      <w:pPr>
        <w:ind w:left="133" w:hanging="360"/>
      </w:pPr>
      <w:rPr>
        <w:rFonts w:hint="default"/>
        <w:lang w:val="en-US" w:eastAsia="en-US" w:bidi="ar-SA"/>
      </w:rPr>
    </w:lvl>
    <w:lvl w:ilvl="8" w:tplc="8D94082C">
      <w:numFmt w:val="bullet"/>
      <w:lvlText w:val="•"/>
      <w:lvlJc w:val="left"/>
      <w:pPr>
        <w:ind w:left="26" w:hanging="360"/>
      </w:pPr>
      <w:rPr>
        <w:rFonts w:hint="default"/>
        <w:lang w:val="en-US" w:eastAsia="en-US" w:bidi="ar-SA"/>
      </w:rPr>
    </w:lvl>
  </w:abstractNum>
  <w:abstractNum w:abstractNumId="31" w15:restartNumberingAfterBreak="0">
    <w:nsid w:val="7D1F6692"/>
    <w:multiLevelType w:val="multilevel"/>
    <w:tmpl w:val="6300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136716"/>
    <w:multiLevelType w:val="multilevel"/>
    <w:tmpl w:val="ECF4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5B1877"/>
    <w:multiLevelType w:val="hybridMultilevel"/>
    <w:tmpl w:val="62FE4964"/>
    <w:lvl w:ilvl="0" w:tplc="D4625D58">
      <w:numFmt w:val="bullet"/>
      <w:lvlText w:val="-"/>
      <w:lvlJc w:val="left"/>
      <w:pPr>
        <w:ind w:left="127" w:hanging="126"/>
      </w:pPr>
      <w:rPr>
        <w:rFonts w:ascii="Times New Roman" w:eastAsia="Times New Roman" w:hAnsi="Times New Roman" w:cs="Times New Roman" w:hint="default"/>
        <w:b w:val="0"/>
        <w:bCs w:val="0"/>
        <w:i w:val="0"/>
        <w:iCs w:val="0"/>
        <w:spacing w:val="0"/>
        <w:w w:val="99"/>
        <w:sz w:val="20"/>
        <w:szCs w:val="20"/>
        <w:lang w:val="en-US" w:eastAsia="en-US" w:bidi="ar-SA"/>
      </w:rPr>
    </w:lvl>
    <w:lvl w:ilvl="1" w:tplc="79B21B00">
      <w:numFmt w:val="bullet"/>
      <w:lvlText w:val="•"/>
      <w:lvlJc w:val="left"/>
      <w:pPr>
        <w:ind w:left="618" w:hanging="126"/>
      </w:pPr>
      <w:rPr>
        <w:rFonts w:hint="default"/>
        <w:lang w:val="en-US" w:eastAsia="en-US" w:bidi="ar-SA"/>
      </w:rPr>
    </w:lvl>
    <w:lvl w:ilvl="2" w:tplc="3670C040">
      <w:numFmt w:val="bullet"/>
      <w:lvlText w:val="•"/>
      <w:lvlJc w:val="left"/>
      <w:pPr>
        <w:ind w:left="1116" w:hanging="126"/>
      </w:pPr>
      <w:rPr>
        <w:rFonts w:hint="default"/>
        <w:lang w:val="en-US" w:eastAsia="en-US" w:bidi="ar-SA"/>
      </w:rPr>
    </w:lvl>
    <w:lvl w:ilvl="3" w:tplc="E5EE5AA2">
      <w:numFmt w:val="bullet"/>
      <w:lvlText w:val="•"/>
      <w:lvlJc w:val="left"/>
      <w:pPr>
        <w:ind w:left="1614" w:hanging="126"/>
      </w:pPr>
      <w:rPr>
        <w:rFonts w:hint="default"/>
        <w:lang w:val="en-US" w:eastAsia="en-US" w:bidi="ar-SA"/>
      </w:rPr>
    </w:lvl>
    <w:lvl w:ilvl="4" w:tplc="4C6C5502">
      <w:numFmt w:val="bullet"/>
      <w:lvlText w:val="•"/>
      <w:lvlJc w:val="left"/>
      <w:pPr>
        <w:ind w:left="2112" w:hanging="126"/>
      </w:pPr>
      <w:rPr>
        <w:rFonts w:hint="default"/>
        <w:lang w:val="en-US" w:eastAsia="en-US" w:bidi="ar-SA"/>
      </w:rPr>
    </w:lvl>
    <w:lvl w:ilvl="5" w:tplc="9F60A7CC">
      <w:numFmt w:val="bullet"/>
      <w:lvlText w:val="•"/>
      <w:lvlJc w:val="left"/>
      <w:pPr>
        <w:ind w:left="2610" w:hanging="126"/>
      </w:pPr>
      <w:rPr>
        <w:rFonts w:hint="default"/>
        <w:lang w:val="en-US" w:eastAsia="en-US" w:bidi="ar-SA"/>
      </w:rPr>
    </w:lvl>
    <w:lvl w:ilvl="6" w:tplc="EF8C9632">
      <w:numFmt w:val="bullet"/>
      <w:lvlText w:val="•"/>
      <w:lvlJc w:val="left"/>
      <w:pPr>
        <w:ind w:left="3108" w:hanging="126"/>
      </w:pPr>
      <w:rPr>
        <w:rFonts w:hint="default"/>
        <w:lang w:val="en-US" w:eastAsia="en-US" w:bidi="ar-SA"/>
      </w:rPr>
    </w:lvl>
    <w:lvl w:ilvl="7" w:tplc="873EE392">
      <w:numFmt w:val="bullet"/>
      <w:lvlText w:val="•"/>
      <w:lvlJc w:val="left"/>
      <w:pPr>
        <w:ind w:left="3606" w:hanging="126"/>
      </w:pPr>
      <w:rPr>
        <w:rFonts w:hint="default"/>
        <w:lang w:val="en-US" w:eastAsia="en-US" w:bidi="ar-SA"/>
      </w:rPr>
    </w:lvl>
    <w:lvl w:ilvl="8" w:tplc="FFEE020C">
      <w:numFmt w:val="bullet"/>
      <w:lvlText w:val="•"/>
      <w:lvlJc w:val="left"/>
      <w:pPr>
        <w:ind w:left="4104" w:hanging="126"/>
      </w:pPr>
      <w:rPr>
        <w:rFonts w:hint="default"/>
        <w:lang w:val="en-US" w:eastAsia="en-US" w:bidi="ar-SA"/>
      </w:rPr>
    </w:lvl>
  </w:abstractNum>
  <w:num w:numId="1" w16cid:durableId="1590457">
    <w:abstractNumId w:val="14"/>
  </w:num>
  <w:num w:numId="2" w16cid:durableId="931553488">
    <w:abstractNumId w:val="5"/>
  </w:num>
  <w:num w:numId="3" w16cid:durableId="1591860">
    <w:abstractNumId w:val="19"/>
  </w:num>
  <w:num w:numId="4" w16cid:durableId="1240289507">
    <w:abstractNumId w:val="11"/>
  </w:num>
  <w:num w:numId="5" w16cid:durableId="755322452">
    <w:abstractNumId w:val="26"/>
  </w:num>
  <w:num w:numId="6" w16cid:durableId="2069179784">
    <w:abstractNumId w:val="27"/>
  </w:num>
  <w:num w:numId="7" w16cid:durableId="1609586767">
    <w:abstractNumId w:val="30"/>
  </w:num>
  <w:num w:numId="8" w16cid:durableId="259335160">
    <w:abstractNumId w:val="17"/>
  </w:num>
  <w:num w:numId="9" w16cid:durableId="963535511">
    <w:abstractNumId w:val="33"/>
  </w:num>
  <w:num w:numId="10" w16cid:durableId="797995666">
    <w:abstractNumId w:val="15"/>
  </w:num>
  <w:num w:numId="11" w16cid:durableId="1783111241">
    <w:abstractNumId w:val="20"/>
  </w:num>
  <w:num w:numId="12" w16cid:durableId="1300264577">
    <w:abstractNumId w:val="0"/>
  </w:num>
  <w:num w:numId="13" w16cid:durableId="11107607">
    <w:abstractNumId w:val="8"/>
  </w:num>
  <w:num w:numId="14" w16cid:durableId="556164684">
    <w:abstractNumId w:val="25"/>
  </w:num>
  <w:num w:numId="15" w16cid:durableId="1334605831">
    <w:abstractNumId w:val="16"/>
  </w:num>
  <w:num w:numId="16" w16cid:durableId="1904634062">
    <w:abstractNumId w:val="23"/>
  </w:num>
  <w:num w:numId="17" w16cid:durableId="1082066711">
    <w:abstractNumId w:val="32"/>
  </w:num>
  <w:num w:numId="18" w16cid:durableId="813763989">
    <w:abstractNumId w:val="9"/>
  </w:num>
  <w:num w:numId="19" w16cid:durableId="1657101254">
    <w:abstractNumId w:val="31"/>
  </w:num>
  <w:num w:numId="20" w16cid:durableId="925647029">
    <w:abstractNumId w:val="4"/>
  </w:num>
  <w:num w:numId="21" w16cid:durableId="1756970070">
    <w:abstractNumId w:val="3"/>
  </w:num>
  <w:num w:numId="22" w16cid:durableId="345862218">
    <w:abstractNumId w:val="22"/>
  </w:num>
  <w:num w:numId="23" w16cid:durableId="685324763">
    <w:abstractNumId w:val="18"/>
  </w:num>
  <w:num w:numId="24" w16cid:durableId="1480996213">
    <w:abstractNumId w:val="24"/>
  </w:num>
  <w:num w:numId="25" w16cid:durableId="625161009">
    <w:abstractNumId w:val="21"/>
  </w:num>
  <w:num w:numId="26" w16cid:durableId="1434938803">
    <w:abstractNumId w:val="6"/>
  </w:num>
  <w:num w:numId="27" w16cid:durableId="1789278814">
    <w:abstractNumId w:val="12"/>
  </w:num>
  <w:num w:numId="28" w16cid:durableId="399138051">
    <w:abstractNumId w:val="29"/>
  </w:num>
  <w:num w:numId="29" w16cid:durableId="1932931126">
    <w:abstractNumId w:val="28"/>
  </w:num>
  <w:num w:numId="30" w16cid:durableId="112602901">
    <w:abstractNumId w:val="10"/>
  </w:num>
  <w:num w:numId="31" w16cid:durableId="2046833513">
    <w:abstractNumId w:val="7"/>
  </w:num>
  <w:num w:numId="32" w16cid:durableId="478114923">
    <w:abstractNumId w:val="1"/>
  </w:num>
  <w:num w:numId="33" w16cid:durableId="1986933631">
    <w:abstractNumId w:val="2"/>
  </w:num>
  <w:num w:numId="34" w16cid:durableId="8756554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174"/>
    <w:rsid w:val="00012E6E"/>
    <w:rsid w:val="000214C8"/>
    <w:rsid w:val="00024B06"/>
    <w:rsid w:val="00054294"/>
    <w:rsid w:val="000777D2"/>
    <w:rsid w:val="00092FEA"/>
    <w:rsid w:val="0010676F"/>
    <w:rsid w:val="00152125"/>
    <w:rsid w:val="0017791A"/>
    <w:rsid w:val="002157D6"/>
    <w:rsid w:val="002823E3"/>
    <w:rsid w:val="002B34CB"/>
    <w:rsid w:val="00327C8D"/>
    <w:rsid w:val="00372FEC"/>
    <w:rsid w:val="003C336E"/>
    <w:rsid w:val="003C47CD"/>
    <w:rsid w:val="003E1922"/>
    <w:rsid w:val="003F6CDD"/>
    <w:rsid w:val="0043269A"/>
    <w:rsid w:val="00442600"/>
    <w:rsid w:val="004E0BF9"/>
    <w:rsid w:val="004E5905"/>
    <w:rsid w:val="0050101A"/>
    <w:rsid w:val="005055CE"/>
    <w:rsid w:val="0051679B"/>
    <w:rsid w:val="0054567C"/>
    <w:rsid w:val="00563297"/>
    <w:rsid w:val="00585329"/>
    <w:rsid w:val="005930A4"/>
    <w:rsid w:val="00605E0E"/>
    <w:rsid w:val="007208DB"/>
    <w:rsid w:val="00725BBC"/>
    <w:rsid w:val="00743143"/>
    <w:rsid w:val="007F7EA0"/>
    <w:rsid w:val="00820329"/>
    <w:rsid w:val="00820DA1"/>
    <w:rsid w:val="008271CA"/>
    <w:rsid w:val="008342BB"/>
    <w:rsid w:val="008C64C4"/>
    <w:rsid w:val="008F56FC"/>
    <w:rsid w:val="009158F4"/>
    <w:rsid w:val="009B76B0"/>
    <w:rsid w:val="00A0232B"/>
    <w:rsid w:val="00A41A61"/>
    <w:rsid w:val="00A47769"/>
    <w:rsid w:val="00A750B3"/>
    <w:rsid w:val="00A75EB4"/>
    <w:rsid w:val="00AA33A9"/>
    <w:rsid w:val="00AB5668"/>
    <w:rsid w:val="00B4724A"/>
    <w:rsid w:val="00BD7835"/>
    <w:rsid w:val="00BF2120"/>
    <w:rsid w:val="00C01DB0"/>
    <w:rsid w:val="00C04955"/>
    <w:rsid w:val="00C70C2D"/>
    <w:rsid w:val="00C81AC0"/>
    <w:rsid w:val="00CC1699"/>
    <w:rsid w:val="00D25756"/>
    <w:rsid w:val="00D50415"/>
    <w:rsid w:val="00DE400D"/>
    <w:rsid w:val="00E05BDE"/>
    <w:rsid w:val="00EE7EEE"/>
    <w:rsid w:val="00F3273B"/>
    <w:rsid w:val="00F65174"/>
    <w:rsid w:val="00FC5983"/>
    <w:rsid w:val="00FE7F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D756E"/>
  <w15:docId w15:val="{D2D67509-08D5-4C73-B8D5-F998EC69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922"/>
    <w:rPr>
      <w:rFonts w:ascii="Times New Roman" w:eastAsia="Times New Roman" w:hAnsi="Times New Roman" w:cs="Times New Roman"/>
    </w:rPr>
  </w:style>
  <w:style w:type="paragraph" w:styleId="Heading1">
    <w:name w:val="heading 1"/>
    <w:basedOn w:val="Normal"/>
    <w:link w:val="Heading1Char"/>
    <w:uiPriority w:val="9"/>
    <w:qFormat/>
    <w:rsid w:val="008C64C4"/>
    <w:pPr>
      <w:widowControl/>
      <w:autoSpaceDE/>
      <w:autoSpaceDN/>
      <w:spacing w:before="100" w:beforeAutospacing="1" w:after="100" w:afterAutospacing="1"/>
      <w:outlineLvl w:val="0"/>
    </w:pPr>
    <w:rPr>
      <w:b/>
      <w:bCs/>
      <w:kern w:val="36"/>
      <w:sz w:val="48"/>
      <w:szCs w:val="48"/>
      <w:lang w:val="en-IN" w:eastAsia="en-IN"/>
    </w:rPr>
  </w:style>
  <w:style w:type="paragraph" w:styleId="Heading3">
    <w:name w:val="heading 3"/>
    <w:basedOn w:val="Normal"/>
    <w:next w:val="Normal"/>
    <w:link w:val="Heading3Char"/>
    <w:uiPriority w:val="9"/>
    <w:semiHidden/>
    <w:unhideWhenUsed/>
    <w:qFormat/>
    <w:rsid w:val="00C81AC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27"/>
      <w:jc w:val="both"/>
    </w:pPr>
    <w:rPr>
      <w:sz w:val="20"/>
      <w:szCs w:val="20"/>
    </w:rPr>
  </w:style>
  <w:style w:type="paragraph" w:styleId="Title">
    <w:name w:val="Title"/>
    <w:basedOn w:val="Normal"/>
    <w:uiPriority w:val="10"/>
    <w:qFormat/>
    <w:pPr>
      <w:spacing w:before="62"/>
      <w:ind w:left="20"/>
      <w:jc w:val="center"/>
    </w:pPr>
    <w:rPr>
      <w:sz w:val="48"/>
      <w:szCs w:val="48"/>
    </w:rPr>
  </w:style>
  <w:style w:type="paragraph" w:styleId="ListParagraph">
    <w:name w:val="List Paragraph"/>
    <w:basedOn w:val="Normal"/>
    <w:uiPriority w:val="1"/>
    <w:qFormat/>
    <w:pPr>
      <w:ind w:left="487" w:hanging="361"/>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A33A9"/>
    <w:rPr>
      <w:color w:val="0000FF" w:themeColor="hyperlink"/>
      <w:u w:val="single"/>
    </w:rPr>
  </w:style>
  <w:style w:type="character" w:styleId="UnresolvedMention">
    <w:name w:val="Unresolved Mention"/>
    <w:basedOn w:val="DefaultParagraphFont"/>
    <w:uiPriority w:val="99"/>
    <w:semiHidden/>
    <w:unhideWhenUsed/>
    <w:rsid w:val="00AA33A9"/>
    <w:rPr>
      <w:color w:val="605E5C"/>
      <w:shd w:val="clear" w:color="auto" w:fill="E1DFDD"/>
    </w:rPr>
  </w:style>
  <w:style w:type="paragraph" w:styleId="NormalWeb">
    <w:name w:val="Normal (Web)"/>
    <w:basedOn w:val="Normal"/>
    <w:uiPriority w:val="99"/>
    <w:unhideWhenUsed/>
    <w:rsid w:val="00A47769"/>
    <w:pPr>
      <w:widowControl/>
      <w:autoSpaceDE/>
      <w:autoSpaceDN/>
      <w:spacing w:before="100" w:beforeAutospacing="1" w:after="100" w:afterAutospacing="1"/>
    </w:pPr>
    <w:rPr>
      <w:sz w:val="24"/>
      <w:szCs w:val="24"/>
      <w:lang w:val="en-IN" w:eastAsia="en-IN"/>
    </w:rPr>
  </w:style>
  <w:style w:type="character" w:customStyle="1" w:styleId="BodyTextChar">
    <w:name w:val="Body Text Char"/>
    <w:basedOn w:val="DefaultParagraphFont"/>
    <w:link w:val="BodyText"/>
    <w:uiPriority w:val="1"/>
    <w:rsid w:val="00F3273B"/>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8C64C4"/>
    <w:rPr>
      <w:rFonts w:ascii="Times New Roman" w:eastAsia="Times New Roman" w:hAnsi="Times New Roman" w:cs="Times New Roman"/>
      <w:b/>
      <w:bCs/>
      <w:kern w:val="36"/>
      <w:sz w:val="48"/>
      <w:szCs w:val="48"/>
      <w:lang w:val="en-IN" w:eastAsia="en-IN"/>
    </w:rPr>
  </w:style>
  <w:style w:type="character" w:customStyle="1" w:styleId="u-visually-hidden">
    <w:name w:val="u-visually-hidden"/>
    <w:basedOn w:val="DefaultParagraphFont"/>
    <w:rsid w:val="008C64C4"/>
  </w:style>
  <w:style w:type="character" w:styleId="FollowedHyperlink">
    <w:name w:val="FollowedHyperlink"/>
    <w:basedOn w:val="DefaultParagraphFont"/>
    <w:uiPriority w:val="99"/>
    <w:semiHidden/>
    <w:unhideWhenUsed/>
    <w:rsid w:val="005055CE"/>
    <w:rPr>
      <w:color w:val="800080" w:themeColor="followedHyperlink"/>
      <w:u w:val="single"/>
    </w:rPr>
  </w:style>
  <w:style w:type="paragraph" w:customStyle="1" w:styleId="whitespace-pre-wrap">
    <w:name w:val="whitespace-pre-wrap"/>
    <w:basedOn w:val="Normal"/>
    <w:rsid w:val="002B34CB"/>
    <w:pPr>
      <w:widowControl/>
      <w:autoSpaceDE/>
      <w:autoSpaceDN/>
      <w:spacing w:before="100" w:beforeAutospacing="1" w:after="100" w:afterAutospacing="1"/>
    </w:pPr>
    <w:rPr>
      <w:sz w:val="24"/>
      <w:szCs w:val="24"/>
      <w:lang w:val="en-IN" w:eastAsia="en-IN"/>
    </w:rPr>
  </w:style>
  <w:style w:type="character" w:customStyle="1" w:styleId="Heading3Char">
    <w:name w:val="Heading 3 Char"/>
    <w:basedOn w:val="DefaultParagraphFont"/>
    <w:link w:val="Heading3"/>
    <w:uiPriority w:val="9"/>
    <w:semiHidden/>
    <w:rsid w:val="00C81AC0"/>
    <w:rPr>
      <w:rFonts w:asciiTheme="majorHAnsi" w:eastAsiaTheme="majorEastAsia" w:hAnsiTheme="majorHAnsi" w:cstheme="majorBidi"/>
      <w:color w:val="243F60" w:themeColor="accent1" w:themeShade="7F"/>
      <w:sz w:val="24"/>
      <w:szCs w:val="24"/>
    </w:rPr>
  </w:style>
  <w:style w:type="paragraph" w:customStyle="1" w:styleId="whitespace-normal">
    <w:name w:val="whitespace-normal"/>
    <w:basedOn w:val="Normal"/>
    <w:rsid w:val="00C81AC0"/>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C81AC0"/>
    <w:rPr>
      <w:b/>
      <w:bCs/>
    </w:rPr>
  </w:style>
  <w:style w:type="character" w:customStyle="1" w:styleId="mord">
    <w:name w:val="mord"/>
    <w:basedOn w:val="DefaultParagraphFont"/>
    <w:rsid w:val="000777D2"/>
  </w:style>
  <w:style w:type="character" w:customStyle="1" w:styleId="vlist-s">
    <w:name w:val="vlist-s"/>
    <w:basedOn w:val="DefaultParagraphFont"/>
    <w:rsid w:val="000777D2"/>
  </w:style>
  <w:style w:type="character" w:customStyle="1" w:styleId="mrel">
    <w:name w:val="mrel"/>
    <w:basedOn w:val="DefaultParagraphFont"/>
    <w:rsid w:val="000777D2"/>
  </w:style>
  <w:style w:type="character" w:customStyle="1" w:styleId="mbin">
    <w:name w:val="mbin"/>
    <w:basedOn w:val="DefaultParagraphFont"/>
    <w:rsid w:val="000777D2"/>
  </w:style>
  <w:style w:type="character" w:customStyle="1" w:styleId="minner">
    <w:name w:val="minner"/>
    <w:basedOn w:val="DefaultParagraphFont"/>
    <w:rsid w:val="000777D2"/>
  </w:style>
  <w:style w:type="table" w:styleId="TableGrid">
    <w:name w:val="Table Grid"/>
    <w:basedOn w:val="TableNormal"/>
    <w:uiPriority w:val="39"/>
    <w:rsid w:val="000777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pen">
    <w:name w:val="mopen"/>
    <w:basedOn w:val="DefaultParagraphFont"/>
    <w:rsid w:val="000777D2"/>
  </w:style>
  <w:style w:type="character" w:customStyle="1" w:styleId="mclose">
    <w:name w:val="mclose"/>
    <w:basedOn w:val="DefaultParagraphFont"/>
    <w:rsid w:val="000777D2"/>
  </w:style>
  <w:style w:type="character" w:customStyle="1" w:styleId="citation-0">
    <w:name w:val="citation-0"/>
    <w:basedOn w:val="DefaultParagraphFont"/>
    <w:rsid w:val="005456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867188">
      <w:bodyDiv w:val="1"/>
      <w:marLeft w:val="0"/>
      <w:marRight w:val="0"/>
      <w:marTop w:val="0"/>
      <w:marBottom w:val="0"/>
      <w:divBdr>
        <w:top w:val="none" w:sz="0" w:space="0" w:color="auto"/>
        <w:left w:val="none" w:sz="0" w:space="0" w:color="auto"/>
        <w:bottom w:val="none" w:sz="0" w:space="0" w:color="auto"/>
        <w:right w:val="none" w:sz="0" w:space="0" w:color="auto"/>
      </w:divBdr>
    </w:div>
    <w:div w:id="69934105">
      <w:bodyDiv w:val="1"/>
      <w:marLeft w:val="0"/>
      <w:marRight w:val="0"/>
      <w:marTop w:val="0"/>
      <w:marBottom w:val="0"/>
      <w:divBdr>
        <w:top w:val="none" w:sz="0" w:space="0" w:color="auto"/>
        <w:left w:val="none" w:sz="0" w:space="0" w:color="auto"/>
        <w:bottom w:val="none" w:sz="0" w:space="0" w:color="auto"/>
        <w:right w:val="none" w:sz="0" w:space="0" w:color="auto"/>
      </w:divBdr>
    </w:div>
    <w:div w:id="79061585">
      <w:bodyDiv w:val="1"/>
      <w:marLeft w:val="0"/>
      <w:marRight w:val="0"/>
      <w:marTop w:val="0"/>
      <w:marBottom w:val="0"/>
      <w:divBdr>
        <w:top w:val="none" w:sz="0" w:space="0" w:color="auto"/>
        <w:left w:val="none" w:sz="0" w:space="0" w:color="auto"/>
        <w:bottom w:val="none" w:sz="0" w:space="0" w:color="auto"/>
        <w:right w:val="none" w:sz="0" w:space="0" w:color="auto"/>
      </w:divBdr>
    </w:div>
    <w:div w:id="205652510">
      <w:bodyDiv w:val="1"/>
      <w:marLeft w:val="0"/>
      <w:marRight w:val="0"/>
      <w:marTop w:val="0"/>
      <w:marBottom w:val="0"/>
      <w:divBdr>
        <w:top w:val="none" w:sz="0" w:space="0" w:color="auto"/>
        <w:left w:val="none" w:sz="0" w:space="0" w:color="auto"/>
        <w:bottom w:val="none" w:sz="0" w:space="0" w:color="auto"/>
        <w:right w:val="none" w:sz="0" w:space="0" w:color="auto"/>
      </w:divBdr>
    </w:div>
    <w:div w:id="262569801">
      <w:bodyDiv w:val="1"/>
      <w:marLeft w:val="0"/>
      <w:marRight w:val="0"/>
      <w:marTop w:val="0"/>
      <w:marBottom w:val="0"/>
      <w:divBdr>
        <w:top w:val="none" w:sz="0" w:space="0" w:color="auto"/>
        <w:left w:val="none" w:sz="0" w:space="0" w:color="auto"/>
        <w:bottom w:val="none" w:sz="0" w:space="0" w:color="auto"/>
        <w:right w:val="none" w:sz="0" w:space="0" w:color="auto"/>
      </w:divBdr>
    </w:div>
    <w:div w:id="333336433">
      <w:bodyDiv w:val="1"/>
      <w:marLeft w:val="0"/>
      <w:marRight w:val="0"/>
      <w:marTop w:val="0"/>
      <w:marBottom w:val="0"/>
      <w:divBdr>
        <w:top w:val="none" w:sz="0" w:space="0" w:color="auto"/>
        <w:left w:val="none" w:sz="0" w:space="0" w:color="auto"/>
        <w:bottom w:val="none" w:sz="0" w:space="0" w:color="auto"/>
        <w:right w:val="none" w:sz="0" w:space="0" w:color="auto"/>
      </w:divBdr>
    </w:div>
    <w:div w:id="375663856">
      <w:bodyDiv w:val="1"/>
      <w:marLeft w:val="0"/>
      <w:marRight w:val="0"/>
      <w:marTop w:val="0"/>
      <w:marBottom w:val="0"/>
      <w:divBdr>
        <w:top w:val="none" w:sz="0" w:space="0" w:color="auto"/>
        <w:left w:val="none" w:sz="0" w:space="0" w:color="auto"/>
        <w:bottom w:val="none" w:sz="0" w:space="0" w:color="auto"/>
        <w:right w:val="none" w:sz="0" w:space="0" w:color="auto"/>
      </w:divBdr>
    </w:div>
    <w:div w:id="597638454">
      <w:bodyDiv w:val="1"/>
      <w:marLeft w:val="0"/>
      <w:marRight w:val="0"/>
      <w:marTop w:val="0"/>
      <w:marBottom w:val="0"/>
      <w:divBdr>
        <w:top w:val="none" w:sz="0" w:space="0" w:color="auto"/>
        <w:left w:val="none" w:sz="0" w:space="0" w:color="auto"/>
        <w:bottom w:val="none" w:sz="0" w:space="0" w:color="auto"/>
        <w:right w:val="none" w:sz="0" w:space="0" w:color="auto"/>
      </w:divBdr>
    </w:div>
    <w:div w:id="626667584">
      <w:bodyDiv w:val="1"/>
      <w:marLeft w:val="0"/>
      <w:marRight w:val="0"/>
      <w:marTop w:val="0"/>
      <w:marBottom w:val="0"/>
      <w:divBdr>
        <w:top w:val="none" w:sz="0" w:space="0" w:color="auto"/>
        <w:left w:val="none" w:sz="0" w:space="0" w:color="auto"/>
        <w:bottom w:val="none" w:sz="0" w:space="0" w:color="auto"/>
        <w:right w:val="none" w:sz="0" w:space="0" w:color="auto"/>
      </w:divBdr>
    </w:div>
    <w:div w:id="653216283">
      <w:bodyDiv w:val="1"/>
      <w:marLeft w:val="0"/>
      <w:marRight w:val="0"/>
      <w:marTop w:val="0"/>
      <w:marBottom w:val="0"/>
      <w:divBdr>
        <w:top w:val="none" w:sz="0" w:space="0" w:color="auto"/>
        <w:left w:val="none" w:sz="0" w:space="0" w:color="auto"/>
        <w:bottom w:val="none" w:sz="0" w:space="0" w:color="auto"/>
        <w:right w:val="none" w:sz="0" w:space="0" w:color="auto"/>
      </w:divBdr>
    </w:div>
    <w:div w:id="717246234">
      <w:bodyDiv w:val="1"/>
      <w:marLeft w:val="0"/>
      <w:marRight w:val="0"/>
      <w:marTop w:val="0"/>
      <w:marBottom w:val="0"/>
      <w:divBdr>
        <w:top w:val="none" w:sz="0" w:space="0" w:color="auto"/>
        <w:left w:val="none" w:sz="0" w:space="0" w:color="auto"/>
        <w:bottom w:val="none" w:sz="0" w:space="0" w:color="auto"/>
        <w:right w:val="none" w:sz="0" w:space="0" w:color="auto"/>
      </w:divBdr>
    </w:div>
    <w:div w:id="817842697">
      <w:bodyDiv w:val="1"/>
      <w:marLeft w:val="0"/>
      <w:marRight w:val="0"/>
      <w:marTop w:val="0"/>
      <w:marBottom w:val="0"/>
      <w:divBdr>
        <w:top w:val="none" w:sz="0" w:space="0" w:color="auto"/>
        <w:left w:val="none" w:sz="0" w:space="0" w:color="auto"/>
        <w:bottom w:val="none" w:sz="0" w:space="0" w:color="auto"/>
        <w:right w:val="none" w:sz="0" w:space="0" w:color="auto"/>
      </w:divBdr>
    </w:div>
    <w:div w:id="877667682">
      <w:bodyDiv w:val="1"/>
      <w:marLeft w:val="0"/>
      <w:marRight w:val="0"/>
      <w:marTop w:val="0"/>
      <w:marBottom w:val="0"/>
      <w:divBdr>
        <w:top w:val="none" w:sz="0" w:space="0" w:color="auto"/>
        <w:left w:val="none" w:sz="0" w:space="0" w:color="auto"/>
        <w:bottom w:val="none" w:sz="0" w:space="0" w:color="auto"/>
        <w:right w:val="none" w:sz="0" w:space="0" w:color="auto"/>
      </w:divBdr>
    </w:div>
    <w:div w:id="898131768">
      <w:bodyDiv w:val="1"/>
      <w:marLeft w:val="0"/>
      <w:marRight w:val="0"/>
      <w:marTop w:val="0"/>
      <w:marBottom w:val="0"/>
      <w:divBdr>
        <w:top w:val="none" w:sz="0" w:space="0" w:color="auto"/>
        <w:left w:val="none" w:sz="0" w:space="0" w:color="auto"/>
        <w:bottom w:val="none" w:sz="0" w:space="0" w:color="auto"/>
        <w:right w:val="none" w:sz="0" w:space="0" w:color="auto"/>
      </w:divBdr>
    </w:div>
    <w:div w:id="924996712">
      <w:bodyDiv w:val="1"/>
      <w:marLeft w:val="0"/>
      <w:marRight w:val="0"/>
      <w:marTop w:val="0"/>
      <w:marBottom w:val="0"/>
      <w:divBdr>
        <w:top w:val="none" w:sz="0" w:space="0" w:color="auto"/>
        <w:left w:val="none" w:sz="0" w:space="0" w:color="auto"/>
        <w:bottom w:val="none" w:sz="0" w:space="0" w:color="auto"/>
        <w:right w:val="none" w:sz="0" w:space="0" w:color="auto"/>
      </w:divBdr>
    </w:div>
    <w:div w:id="1007171245">
      <w:bodyDiv w:val="1"/>
      <w:marLeft w:val="0"/>
      <w:marRight w:val="0"/>
      <w:marTop w:val="0"/>
      <w:marBottom w:val="0"/>
      <w:divBdr>
        <w:top w:val="none" w:sz="0" w:space="0" w:color="auto"/>
        <w:left w:val="none" w:sz="0" w:space="0" w:color="auto"/>
        <w:bottom w:val="none" w:sz="0" w:space="0" w:color="auto"/>
        <w:right w:val="none" w:sz="0" w:space="0" w:color="auto"/>
      </w:divBdr>
    </w:div>
    <w:div w:id="1022587052">
      <w:bodyDiv w:val="1"/>
      <w:marLeft w:val="0"/>
      <w:marRight w:val="0"/>
      <w:marTop w:val="0"/>
      <w:marBottom w:val="0"/>
      <w:divBdr>
        <w:top w:val="none" w:sz="0" w:space="0" w:color="auto"/>
        <w:left w:val="none" w:sz="0" w:space="0" w:color="auto"/>
        <w:bottom w:val="none" w:sz="0" w:space="0" w:color="auto"/>
        <w:right w:val="none" w:sz="0" w:space="0" w:color="auto"/>
      </w:divBdr>
    </w:div>
    <w:div w:id="1121850299">
      <w:bodyDiv w:val="1"/>
      <w:marLeft w:val="0"/>
      <w:marRight w:val="0"/>
      <w:marTop w:val="0"/>
      <w:marBottom w:val="0"/>
      <w:divBdr>
        <w:top w:val="none" w:sz="0" w:space="0" w:color="auto"/>
        <w:left w:val="none" w:sz="0" w:space="0" w:color="auto"/>
        <w:bottom w:val="none" w:sz="0" w:space="0" w:color="auto"/>
        <w:right w:val="none" w:sz="0" w:space="0" w:color="auto"/>
      </w:divBdr>
    </w:div>
    <w:div w:id="1197743217">
      <w:bodyDiv w:val="1"/>
      <w:marLeft w:val="0"/>
      <w:marRight w:val="0"/>
      <w:marTop w:val="0"/>
      <w:marBottom w:val="0"/>
      <w:divBdr>
        <w:top w:val="none" w:sz="0" w:space="0" w:color="auto"/>
        <w:left w:val="none" w:sz="0" w:space="0" w:color="auto"/>
        <w:bottom w:val="none" w:sz="0" w:space="0" w:color="auto"/>
        <w:right w:val="none" w:sz="0" w:space="0" w:color="auto"/>
      </w:divBdr>
    </w:div>
    <w:div w:id="1309046669">
      <w:bodyDiv w:val="1"/>
      <w:marLeft w:val="0"/>
      <w:marRight w:val="0"/>
      <w:marTop w:val="0"/>
      <w:marBottom w:val="0"/>
      <w:divBdr>
        <w:top w:val="none" w:sz="0" w:space="0" w:color="auto"/>
        <w:left w:val="none" w:sz="0" w:space="0" w:color="auto"/>
        <w:bottom w:val="none" w:sz="0" w:space="0" w:color="auto"/>
        <w:right w:val="none" w:sz="0" w:space="0" w:color="auto"/>
      </w:divBdr>
    </w:div>
    <w:div w:id="1317342380">
      <w:bodyDiv w:val="1"/>
      <w:marLeft w:val="0"/>
      <w:marRight w:val="0"/>
      <w:marTop w:val="0"/>
      <w:marBottom w:val="0"/>
      <w:divBdr>
        <w:top w:val="none" w:sz="0" w:space="0" w:color="auto"/>
        <w:left w:val="none" w:sz="0" w:space="0" w:color="auto"/>
        <w:bottom w:val="none" w:sz="0" w:space="0" w:color="auto"/>
        <w:right w:val="none" w:sz="0" w:space="0" w:color="auto"/>
      </w:divBdr>
    </w:div>
    <w:div w:id="1341203639">
      <w:bodyDiv w:val="1"/>
      <w:marLeft w:val="0"/>
      <w:marRight w:val="0"/>
      <w:marTop w:val="0"/>
      <w:marBottom w:val="0"/>
      <w:divBdr>
        <w:top w:val="none" w:sz="0" w:space="0" w:color="auto"/>
        <w:left w:val="none" w:sz="0" w:space="0" w:color="auto"/>
        <w:bottom w:val="none" w:sz="0" w:space="0" w:color="auto"/>
        <w:right w:val="none" w:sz="0" w:space="0" w:color="auto"/>
      </w:divBdr>
    </w:div>
    <w:div w:id="1403139185">
      <w:bodyDiv w:val="1"/>
      <w:marLeft w:val="0"/>
      <w:marRight w:val="0"/>
      <w:marTop w:val="0"/>
      <w:marBottom w:val="0"/>
      <w:divBdr>
        <w:top w:val="none" w:sz="0" w:space="0" w:color="auto"/>
        <w:left w:val="none" w:sz="0" w:space="0" w:color="auto"/>
        <w:bottom w:val="none" w:sz="0" w:space="0" w:color="auto"/>
        <w:right w:val="none" w:sz="0" w:space="0" w:color="auto"/>
      </w:divBdr>
    </w:div>
    <w:div w:id="1444349046">
      <w:bodyDiv w:val="1"/>
      <w:marLeft w:val="0"/>
      <w:marRight w:val="0"/>
      <w:marTop w:val="0"/>
      <w:marBottom w:val="0"/>
      <w:divBdr>
        <w:top w:val="none" w:sz="0" w:space="0" w:color="auto"/>
        <w:left w:val="none" w:sz="0" w:space="0" w:color="auto"/>
        <w:bottom w:val="none" w:sz="0" w:space="0" w:color="auto"/>
        <w:right w:val="none" w:sz="0" w:space="0" w:color="auto"/>
      </w:divBdr>
    </w:div>
    <w:div w:id="1551457493">
      <w:bodyDiv w:val="1"/>
      <w:marLeft w:val="0"/>
      <w:marRight w:val="0"/>
      <w:marTop w:val="0"/>
      <w:marBottom w:val="0"/>
      <w:divBdr>
        <w:top w:val="none" w:sz="0" w:space="0" w:color="auto"/>
        <w:left w:val="none" w:sz="0" w:space="0" w:color="auto"/>
        <w:bottom w:val="none" w:sz="0" w:space="0" w:color="auto"/>
        <w:right w:val="none" w:sz="0" w:space="0" w:color="auto"/>
      </w:divBdr>
    </w:div>
    <w:div w:id="1715077346">
      <w:bodyDiv w:val="1"/>
      <w:marLeft w:val="0"/>
      <w:marRight w:val="0"/>
      <w:marTop w:val="0"/>
      <w:marBottom w:val="0"/>
      <w:divBdr>
        <w:top w:val="none" w:sz="0" w:space="0" w:color="auto"/>
        <w:left w:val="none" w:sz="0" w:space="0" w:color="auto"/>
        <w:bottom w:val="none" w:sz="0" w:space="0" w:color="auto"/>
        <w:right w:val="none" w:sz="0" w:space="0" w:color="auto"/>
      </w:divBdr>
    </w:div>
    <w:div w:id="1744985467">
      <w:bodyDiv w:val="1"/>
      <w:marLeft w:val="0"/>
      <w:marRight w:val="0"/>
      <w:marTop w:val="0"/>
      <w:marBottom w:val="0"/>
      <w:divBdr>
        <w:top w:val="none" w:sz="0" w:space="0" w:color="auto"/>
        <w:left w:val="none" w:sz="0" w:space="0" w:color="auto"/>
        <w:bottom w:val="none" w:sz="0" w:space="0" w:color="auto"/>
        <w:right w:val="none" w:sz="0" w:space="0" w:color="auto"/>
      </w:divBdr>
    </w:div>
    <w:div w:id="1754471919">
      <w:bodyDiv w:val="1"/>
      <w:marLeft w:val="0"/>
      <w:marRight w:val="0"/>
      <w:marTop w:val="0"/>
      <w:marBottom w:val="0"/>
      <w:divBdr>
        <w:top w:val="none" w:sz="0" w:space="0" w:color="auto"/>
        <w:left w:val="none" w:sz="0" w:space="0" w:color="auto"/>
        <w:bottom w:val="none" w:sz="0" w:space="0" w:color="auto"/>
        <w:right w:val="none" w:sz="0" w:space="0" w:color="auto"/>
      </w:divBdr>
    </w:div>
    <w:div w:id="1794782599">
      <w:bodyDiv w:val="1"/>
      <w:marLeft w:val="0"/>
      <w:marRight w:val="0"/>
      <w:marTop w:val="0"/>
      <w:marBottom w:val="0"/>
      <w:divBdr>
        <w:top w:val="none" w:sz="0" w:space="0" w:color="auto"/>
        <w:left w:val="none" w:sz="0" w:space="0" w:color="auto"/>
        <w:bottom w:val="none" w:sz="0" w:space="0" w:color="auto"/>
        <w:right w:val="none" w:sz="0" w:space="0" w:color="auto"/>
      </w:divBdr>
    </w:div>
    <w:div w:id="1914392901">
      <w:bodyDiv w:val="1"/>
      <w:marLeft w:val="0"/>
      <w:marRight w:val="0"/>
      <w:marTop w:val="0"/>
      <w:marBottom w:val="0"/>
      <w:divBdr>
        <w:top w:val="none" w:sz="0" w:space="0" w:color="auto"/>
        <w:left w:val="none" w:sz="0" w:space="0" w:color="auto"/>
        <w:bottom w:val="none" w:sz="0" w:space="0" w:color="auto"/>
        <w:right w:val="none" w:sz="0" w:space="0" w:color="auto"/>
      </w:divBdr>
    </w:div>
    <w:div w:id="1976521826">
      <w:bodyDiv w:val="1"/>
      <w:marLeft w:val="0"/>
      <w:marRight w:val="0"/>
      <w:marTop w:val="0"/>
      <w:marBottom w:val="0"/>
      <w:divBdr>
        <w:top w:val="none" w:sz="0" w:space="0" w:color="auto"/>
        <w:left w:val="none" w:sz="0" w:space="0" w:color="auto"/>
        <w:bottom w:val="none" w:sz="0" w:space="0" w:color="auto"/>
        <w:right w:val="none" w:sz="0" w:space="0" w:color="auto"/>
      </w:divBdr>
    </w:div>
    <w:div w:id="1980841962">
      <w:bodyDiv w:val="1"/>
      <w:marLeft w:val="0"/>
      <w:marRight w:val="0"/>
      <w:marTop w:val="0"/>
      <w:marBottom w:val="0"/>
      <w:divBdr>
        <w:top w:val="none" w:sz="0" w:space="0" w:color="auto"/>
        <w:left w:val="none" w:sz="0" w:space="0" w:color="auto"/>
        <w:bottom w:val="none" w:sz="0" w:space="0" w:color="auto"/>
        <w:right w:val="none" w:sz="0" w:space="0" w:color="auto"/>
      </w:divBdr>
    </w:div>
    <w:div w:id="2088991442">
      <w:bodyDiv w:val="1"/>
      <w:marLeft w:val="0"/>
      <w:marRight w:val="0"/>
      <w:marTop w:val="0"/>
      <w:marBottom w:val="0"/>
      <w:divBdr>
        <w:top w:val="none" w:sz="0" w:space="0" w:color="auto"/>
        <w:left w:val="none" w:sz="0" w:space="0" w:color="auto"/>
        <w:bottom w:val="none" w:sz="0" w:space="0" w:color="auto"/>
        <w:right w:val="none" w:sz="0" w:space="0" w:color="auto"/>
      </w:divBdr>
    </w:div>
    <w:div w:id="2129663104">
      <w:bodyDiv w:val="1"/>
      <w:marLeft w:val="0"/>
      <w:marRight w:val="0"/>
      <w:marTop w:val="0"/>
      <w:marBottom w:val="0"/>
      <w:divBdr>
        <w:top w:val="none" w:sz="0" w:space="0" w:color="auto"/>
        <w:left w:val="none" w:sz="0" w:space="0" w:color="auto"/>
        <w:bottom w:val="none" w:sz="0" w:space="0" w:color="auto"/>
        <w:right w:val="none" w:sz="0" w:space="0" w:color="auto"/>
      </w:divBdr>
    </w:div>
    <w:div w:id="2140415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oham.vyas@sot.pdpu.ac.in" TargetMode="External"/><Relationship Id="rId13" Type="http://schemas.openxmlformats.org/officeDocument/2006/relationships/image" Target="media/image5.png"/><Relationship Id="rId18" Type="http://schemas.openxmlformats.org/officeDocument/2006/relationships/hyperlink" Target="https://iopscience.iop.org/article/10.1088/1748-9326/ac4a9e/pdf" TargetMode="External"/><Relationship Id="rId3" Type="http://schemas.openxmlformats.org/officeDocument/2006/relationships/styles" Target="styles.xml"/><Relationship Id="rId21" Type="http://schemas.openxmlformats.org/officeDocument/2006/relationships/hyperlink" Target="https://acp.copernicus.org/articles/21/5235/2021/acp-21-5235-2021-discussion.html" TargetMode="External"/><Relationship Id="rId7" Type="http://schemas.openxmlformats.org/officeDocument/2006/relationships/hyperlink" Target="mailto:dhvani.pce21@sot.pdpu.ac.in" TargetMode="External"/><Relationship Id="rId12" Type="http://schemas.openxmlformats.org/officeDocument/2006/relationships/image" Target="media/image4.png"/><Relationship Id="rId17" Type="http://schemas.openxmlformats.org/officeDocument/2006/relationships/hyperlink" Target="https://www.researchgate.net/publication/373721188_Air_Quality_Monitoring_and_Analysis_for_Sustainable_Development_of_Solid_Waste_Dump_Yards_Using_Smart_Drones_and_Geospatial_Technolog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researchgate.net/publication/367551057_Prediction_of_Air_Quality_Index_Using_Machine_Learning_Techniques_A_Comparative_Analysis" TargetMode="External"/><Relationship Id="rId20" Type="http://schemas.openxmlformats.org/officeDocument/2006/relationships/hyperlink" Target="https://papers.ssrn.com/sol3/papers.cfm?abstract_id=3768477" TargetMode="External"/><Relationship Id="rId1" Type="http://schemas.openxmlformats.org/officeDocument/2006/relationships/customXml" Target="../customXml/item1.xml"/><Relationship Id="rId6" Type="http://schemas.openxmlformats.org/officeDocument/2006/relationships/hyperlink" Target="mailto:shivraj.nce21@sot.pdpu.ac.in"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3390/app11104557" TargetMode="External"/><Relationship Id="rId23" Type="http://schemas.openxmlformats.org/officeDocument/2006/relationships/hyperlink" Target="https://acp.copernicus.org/articles/18/8929/2018/" TargetMode="External"/><Relationship Id="rId10" Type="http://schemas.openxmlformats.org/officeDocument/2006/relationships/image" Target="media/image2.png"/><Relationship Id="rId19" Type="http://schemas.openxmlformats.org/officeDocument/2006/relationships/hyperlink" Target="https://acp.copernicus.org/articles/22/4615/2022/"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acp.copernicus.org/articles/24/789/2024/acp-24-789-2024.pdf" TargetMode="External"/><Relationship Id="rId22" Type="http://schemas.openxmlformats.org/officeDocument/2006/relationships/hyperlink" Target="https://acp.copernicus.org/articles/19/181/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EF515-FB88-40C2-A220-2086FEB33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3999</Words>
  <Characters>22796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Krishkumar Viramgama</dc:creator>
  <cp:lastModifiedBy>Dhvani Patel</cp:lastModifiedBy>
  <cp:revision>2</cp:revision>
  <cp:lastPrinted>2024-05-03T08:42:00Z</cp:lastPrinted>
  <dcterms:created xsi:type="dcterms:W3CDTF">2024-05-03T08:43:00Z</dcterms:created>
  <dcterms:modified xsi:type="dcterms:W3CDTF">2024-05-03T08:43:00Z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2023-11-13T00:00:00Z</vt:filetime>
  </property>
  <property fmtid="{D5CDD505-2E9C-101B-9397-08002B2CF9AE}" pid="3" name="Creator">
    <vt:lpwstr>Microsoft® Word 2019</vt:lpwstr>
  </property>
  <property fmtid="{D5CDD505-2E9C-101B-9397-08002B2CF9AE}" pid="4" name="LastSaved">
    <vt:filetime>2024-04-25T00:00:00Z</vt:filetime>
  </property>
  <property fmtid="{D5CDD505-2E9C-101B-9397-08002B2CF9AE}" pid="5" name="Producer">
    <vt:lpwstr>Microsoft® Word 2019</vt:lpwstr>
  </property>
</Properties>
</file>