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The Database of AI Litigation (DAIL) Researcher Guide</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numPr>
          <w:ilvl w:val="0"/>
          <w:numId w:val="5"/>
        </w:numPr>
        <w:ind w:left="720" w:hanging="360"/>
        <w:rPr>
          <w:b w:val="1"/>
          <w:bCs w:val="1"/>
        </w:rPr>
      </w:pPr>
      <w:r w:rsidDel="00000000" w:rsidR="00000000" w:rsidRPr="00000000">
        <w:rPr>
          <w:b w:val="1"/>
          <w:bCs w:val="1"/>
          <w:rtl w:val="0"/>
        </w:rPr>
        <w:t xml:space="preserve">Entering cases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ab/>
      </w:r>
      <w:r w:rsidDel="00000000" w:rsidR="00000000" w:rsidRPr="00000000">
        <w:rPr>
          <w:rtl w:val="0"/>
        </w:rPr>
        <w:t xml:space="preserve">The Data Entry page on the DAIL website -- </w:t>
      </w:r>
      <w:hyperlink r:id="rId6">
        <w:r w:rsidDel="00000000" w:rsidR="00000000" w:rsidRPr="00000000">
          <w:rPr>
            <w:color w:val="1155cc"/>
            <w:u w:val="single"/>
            <w:rtl w:val="0"/>
          </w:rPr>
          <w:t xml:space="preserve">https://blogs.gwu.edu/law-eti/importing-data-for-relational-db/</w:t>
        </w:r>
      </w:hyperlink>
      <w:r w:rsidDel="00000000" w:rsidR="00000000" w:rsidRPr="00000000">
        <w:rPr>
          <w:rtl w:val="0"/>
        </w:rPr>
        <w:t xml:space="preserve"> -- includes three forms that will almost always be used to enter a new case into the database, and a fourth form that may be used.  The three forms that you will almost always use are “Add New Case,” “Add New Docket,” and “Add New Document.”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“Add New Case” form allows you to enter the case caption and other basic information about the case.  </w:t>
      </w:r>
      <w:r w:rsidDel="00000000" w:rsidR="00000000" w:rsidRPr="00000000">
        <w:rPr>
          <w:b w:val="1"/>
          <w:bCs w:val="1"/>
          <w:rtl w:val="0"/>
        </w:rPr>
        <w:t xml:space="preserve">It needs to be completed first,</w:t>
      </w:r>
      <w:r w:rsidDel="00000000" w:rsidR="00000000" w:rsidRPr="00000000">
        <w:rPr>
          <w:rtl w:val="0"/>
        </w:rPr>
        <w:t xml:space="preserve"> because the case caption that you enter on that form will provide the means for locating which case you want to add a docket or document link to.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“Add New Docket” form allows you to enter a link to a docket in the case (There may eventually be more than one docket, because if the judgment of the trial court is appealed, the appellate court will have a different docket, as will, possibly, a court considering a second level of appeal, like the Supreme Court of the United States.)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“Add New Document” form allows you to enter a link to a document in the case.  If the lawsuit has just been filed, you will at least want to enter a link to the complaint; as the lawsuit progresses, there will be other key documents that you will want to enter (such as decisions on substantive motions).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fourth form is “Add New Secondary Source.” That form is for entering links to newspaper or magazine articles or blog posts that discuss the case.  It will be important to include a secondary source if that is the only source of information that you have about the case -- if you can’t locate the docket or the complaint.  Otherwise, you should use it if you find a particularly good account or analysis of the case.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2"/>
        </w:numPr>
        <w:ind w:left="720" w:hanging="360"/>
        <w:rPr>
          <w:b w:val="1"/>
          <w:bCs w:val="1"/>
        </w:rPr>
      </w:pPr>
      <w:r w:rsidDel="00000000" w:rsidR="00000000" w:rsidRPr="00000000">
        <w:rPr>
          <w:b w:val="1"/>
          <w:bCs w:val="1"/>
          <w:rtl w:val="0"/>
        </w:rPr>
        <w:t xml:space="preserve">The “Add New Case” form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The “Add New Case” form should be the first form you complete when you enter a new case into the database. Most of the time, you should have the complaint in the case in front of you as you enter information into this form, as it will be the most authoritative source for much of that information, which should be used to enter new cases into the database. The table below includes a brief description of how information should be entered into this table. It is important that information is entered correctly, as a clean, consistent dataset enables more efficient data analyses.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 xml:space="preserve">The docket for each case should be added for reference by DAIL researchers (for future updates to cases) and external users of the database. The RECAP Archive on </w:t>
      </w:r>
      <w:hyperlink r:id="rId7">
        <w:r w:rsidDel="00000000" w:rsidR="00000000" w:rsidRPr="00000000">
          <w:rPr>
            <w:color w:val="1155cc"/>
            <w:u w:val="single"/>
            <w:rtl w:val="0"/>
          </w:rPr>
          <w:t xml:space="preserve">CourtListener</w:t>
        </w:r>
      </w:hyperlink>
      <w:r w:rsidDel="00000000" w:rsidR="00000000" w:rsidRPr="00000000">
        <w:rPr>
          <w:rtl w:val="0"/>
        </w:rPr>
        <w:t xml:space="preserve"> includes the docket for many cases. </w:t>
      </w:r>
      <w:hyperlink r:id="rId8">
        <w:r w:rsidDel="00000000" w:rsidR="00000000" w:rsidRPr="00000000">
          <w:rPr>
            <w:color w:val="1155cc"/>
            <w:u w:val="single"/>
            <w:rtl w:val="0"/>
          </w:rPr>
          <w:t xml:space="preserve">PACER</w:t>
        </w:r>
      </w:hyperlink>
      <w:r w:rsidDel="00000000" w:rsidR="00000000" w:rsidRPr="00000000">
        <w:rPr>
          <w:rtl w:val="0"/>
        </w:rPr>
        <w:t xml:space="preserve"> provides the source of the docket for federal cases, while state and county courts have their own online case information systems.</w:t>
      </w:r>
    </w:p>
    <w:p w:rsidR="00000000" w:rsidDel="00000000" w:rsidP="00000000" w:rsidRDefault="00000000" w:rsidRPr="00000000" w14:paraId="0000001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3075"/>
        <w:gridCol w:w="3735"/>
        <w:tblGridChange w:id="0">
          <w:tblGrid>
            <w:gridCol w:w="2550"/>
            <w:gridCol w:w="3075"/>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i w:val="1"/>
                <w:iCs w:val="1"/>
              </w:rPr>
            </w:pPr>
            <w:r w:rsidDel="00000000" w:rsidR="00000000" w:rsidRPr="00000000">
              <w:rPr>
                <w:i w:val="1"/>
                <w:i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i w:val="1"/>
                <w:iCs w:val="1"/>
              </w:rPr>
            </w:pPr>
            <w:r w:rsidDel="00000000" w:rsidR="00000000" w:rsidRPr="00000000">
              <w:rPr>
                <w:i w:val="1"/>
                <w:iCs w:val="1"/>
                <w:rtl w:val="0"/>
              </w:rPr>
              <w:t xml:space="preserve">Entry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i w:val="1"/>
                <w:iCs w:val="1"/>
              </w:rPr>
            </w:pPr>
            <w:r w:rsidDel="00000000" w:rsidR="00000000" w:rsidRPr="00000000">
              <w:rPr>
                <w:i w:val="1"/>
                <w:iCs w:val="1"/>
                <w:rtl w:val="0"/>
              </w:rPr>
              <w:t xml:space="preserve">Explanation and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Caption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X Party v. Y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Full party names or abbreviated according to The Bluebook?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a case name changes (i.e., because a plaintiff drops), update the case name in the case name field and make a note of the prior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One 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Brief description of the case:</w:t>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t xml:space="preserve">(1) Not the name of the plaintiff(s), petitioner(s), or prosecuting authority(ies), but a word or phrase describing that party or those parties (e.g. generative AI developer, copyright owner, author, employee, tenant, rental pricing service, etc.)</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(2) Either the verb “sues” (for individual civil actions) </w:t>
            </w:r>
          </w:p>
          <w:p w:rsidR="00000000" w:rsidDel="00000000" w:rsidP="00000000" w:rsidRDefault="00000000" w:rsidRPr="00000000" w14:paraId="00000027">
            <w:pPr>
              <w:widowControl w:val="0"/>
              <w:spacing w:line="240" w:lineRule="auto"/>
              <w:rPr/>
            </w:pPr>
            <w:r w:rsidDel="00000000" w:rsidR="00000000" w:rsidRPr="00000000">
              <w:rPr>
                <w:rtl w:val="0"/>
              </w:rPr>
              <w:t xml:space="preserve">“files a putative class action against” (for class actions)</w:t>
            </w:r>
          </w:p>
          <w:p w:rsidR="00000000" w:rsidDel="00000000" w:rsidP="00000000" w:rsidRDefault="00000000" w:rsidRPr="00000000" w14:paraId="00000028">
            <w:pPr>
              <w:widowControl w:val="0"/>
              <w:spacing w:line="240" w:lineRule="auto"/>
              <w:rPr/>
            </w:pPr>
            <w:r w:rsidDel="00000000" w:rsidR="00000000" w:rsidRPr="00000000">
              <w:rPr>
                <w:rtl w:val="0"/>
              </w:rPr>
              <w:t xml:space="preserve">“Files a criminal action against: (for criminal actions)</w:t>
            </w:r>
          </w:p>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t xml:space="preserve">(3) Not the name of the defendant(s), but a word or phrase describing the defendant(s), followed by a comma</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t xml:space="preserve">(4) asserting claims of [up to three claims, plus “and others”]</w:t>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t xml:space="preserve">(5) arising from (brief description of defendant’s alleged actions that gave rise to plaintiff’s claims)</w:t>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t xml:space="preserve">(6) If the case is no longer active, then the disposition of the case in a parenthesis at the end, e.g., “(Settled)”  “(Dismissed)” (“Judgment for Plaintiff”) (Consolidated”), etc.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Area of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Drop-down menu with checkboxes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General area(s) with which the case is concerned with respect to various applications of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Cause of Action</w:t>
            </w:r>
          </w:p>
          <w:p w:rsidR="00000000" w:rsidDel="00000000" w:rsidP="00000000" w:rsidRDefault="00000000" w:rsidRPr="00000000" w14:paraId="000000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Drop-down menu with checkboxes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Cause(s) of action on which the case is 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Issues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Drop-down menu with checkboxes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Legal issues that the case presents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Name of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Drop-down menu with checkboxes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Algorithm(s) involved in the litigation, if relevant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Organizations 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List of entities, separated by commas or semicolons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Organizations involved in the case, including the parties and relevant third parties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Date Action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Date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Date when the case was filed with the court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Jurisdiction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Court name formatted according to The Bluebook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Jurisdiction in which the case was filed, abbreviated according to Table 1 of The Bluebook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Current Jurisdiction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Court name formatted according to the Bluebook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Jurisdiction in which the court is currently being litigated (this does not change if and when the case is on appeal)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Jurisdiction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One of three values: U.S. State; U.S. Federal; or 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This provides information about whether the court is a state court (or agency) in the U.S.; a federal court (or agency) in the U.S.; or some court outside of the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Jurisdiction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The name of a U.S. state or a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If the case is in a federal court, add (federal) behind the state name to indicate the case is in federal court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Status Disposition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Active, Inactive, or brief 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Indication of whether a case is active or inactive, with the option to instead indicate status that does not clearly fall into either category in a brief phrase (e.g., Transferred or Consolidated into MDL)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Date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Date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Date when the case was added to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Last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Date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Date when the case was last updated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Progress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Phrase or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Brief description of any pertinent information related to the case to share with other DAIL researchers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Researcher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Name of the individual(s) who worked on the entry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Class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Drop-down menu with checkboxes: Yes, No, Ruled on Motion, In the Process of Certifying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Indication of whether or not the case is a class action lawsuit, with the option to provide additional specification on class certification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Published Opinions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Checkbox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Indication of whether opinion(s) are published and accessible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Summary of Significance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A few sentences, depending on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Explanation of how or why a case is noteworthy, including the broader implications it might have on the law or the area of application of the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Summary of Facts and Activity to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Approximately 5-6 sentences, depending on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Description of the facts and developments in a case with sufficient detail for database users to understand the case without needing to check the docket and read source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Most Recent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Brief statement of the most recent activity in the case (e.g., a motion or other pleading that was filed, or an opinion that was issued)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Most Recent Activity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Date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Date when the most recent noteworthy development took place or date of final disposition (i.e., date when case settled or otherwise closed)</w:t>
            </w:r>
          </w:p>
        </w:tc>
      </w:tr>
    </w:tbl>
    <w:p w:rsidR="00000000" w:rsidDel="00000000" w:rsidP="00000000" w:rsidRDefault="00000000" w:rsidRPr="00000000" w14:paraId="00000073">
      <w:pPr>
        <w:ind w:left="720" w:firstLine="0"/>
        <w:rPr>
          <w:b w:val="1"/>
          <w:bCs w:val="1"/>
        </w:rPr>
      </w:pPr>
      <w:r w:rsidDel="00000000" w:rsidR="00000000" w:rsidRPr="00000000">
        <w:rPr>
          <w:rtl w:val="0"/>
        </w:rPr>
      </w:r>
    </w:p>
    <w:p w:rsidR="00000000" w:rsidDel="00000000" w:rsidP="00000000" w:rsidRDefault="00000000" w:rsidRPr="00000000" w14:paraId="00000074">
      <w:pPr>
        <w:numPr>
          <w:ilvl w:val="0"/>
          <w:numId w:val="5"/>
        </w:numPr>
        <w:ind w:left="720" w:hanging="360"/>
        <w:rPr>
          <w:b w:val="1"/>
          <w:bCs w:val="1"/>
        </w:rPr>
      </w:pPr>
      <w:r w:rsidDel="00000000" w:rsidR="00000000" w:rsidRPr="00000000">
        <w:rPr>
          <w:b w:val="1"/>
          <w:bCs w:val="1"/>
          <w:rtl w:val="0"/>
        </w:rPr>
        <w:t xml:space="preserve">Updating cases</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ab/>
      </w:r>
      <w:r w:rsidDel="00000000" w:rsidR="00000000" w:rsidRPr="00000000">
        <w:rPr>
          <w:rtl w:val="0"/>
        </w:rPr>
        <w:t xml:space="preserve">Cases that have been entered into the database should be updated regularly to address consistency issues and to add new developments that have occurred since the case was first entered or previously updated. Motions and other noteworthy developments are relevant to include in the database.</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The guidelines above can be referenced when updating for consistency. </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The “Last Update” date field indicates when a case was most recently updated. </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Cases with a Status Disposition of “Active” should be updated at least monthly.</w:t>
      </w:r>
    </w:p>
    <w:p w:rsidR="00000000" w:rsidDel="00000000" w:rsidP="00000000" w:rsidRDefault="00000000" w:rsidRPr="00000000" w14:paraId="0000007A">
      <w:pPr>
        <w:numPr>
          <w:ilvl w:val="1"/>
          <w:numId w:val="1"/>
        </w:numPr>
        <w:ind w:left="1440" w:hanging="360"/>
      </w:pPr>
      <w:r w:rsidDel="00000000" w:rsidR="00000000" w:rsidRPr="00000000">
        <w:rPr>
          <w:rtl w:val="0"/>
        </w:rPr>
        <w:t xml:space="preserve">However, depending on the number of researchers available, cases may be updated more or less frequently. </w:t>
      </w:r>
    </w:p>
    <w:p w:rsidR="00000000" w:rsidDel="00000000" w:rsidP="00000000" w:rsidRDefault="00000000" w:rsidRPr="00000000" w14:paraId="0000007B">
      <w:pPr>
        <w:numPr>
          <w:ilvl w:val="1"/>
          <w:numId w:val="1"/>
        </w:numPr>
        <w:ind w:left="1440" w:hanging="360"/>
      </w:pPr>
      <w:r w:rsidDel="00000000" w:rsidR="00000000" w:rsidRPr="00000000">
        <w:rPr>
          <w:rtl w:val="0"/>
        </w:rPr>
        <w:t xml:space="preserve">As the law around AI rapidly develops and remains unsettled for most issues, it is important that cases are kept current and updated in a timely manner.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5"/>
        </w:numPr>
        <w:ind w:left="720" w:hanging="360"/>
        <w:rPr>
          <w:b w:val="1"/>
          <w:bCs w:val="1"/>
        </w:rPr>
      </w:pPr>
      <w:r w:rsidDel="00000000" w:rsidR="00000000" w:rsidRPr="00000000">
        <w:rPr>
          <w:b w:val="1"/>
          <w:bCs w:val="1"/>
          <w:rtl w:val="0"/>
        </w:rPr>
        <w:t xml:space="preserve">Discovering and Locating Information About Cases</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ab/>
      </w:r>
      <w:r w:rsidDel="00000000" w:rsidR="00000000" w:rsidRPr="00000000">
        <w:rPr>
          <w:rtl w:val="0"/>
        </w:rPr>
        <w:t xml:space="preserve">New cases related to AI are filed every month and there can be frequent new developments in cases entered into the database. It is important that new cases are added shortly after they are filed, and that cases are updated regularly to reflect recent developments.</w:t>
      </w:r>
    </w:p>
    <w:p w:rsidR="00000000" w:rsidDel="00000000" w:rsidP="00000000" w:rsidRDefault="00000000" w:rsidRPr="00000000" w14:paraId="00000080">
      <w:pPr>
        <w:ind w:left="720" w:firstLine="0"/>
        <w:rPr>
          <w:b w:val="1"/>
          <w:bCs w:val="1"/>
        </w:rPr>
      </w:pPr>
      <w:r w:rsidDel="00000000" w:rsidR="00000000" w:rsidRPr="00000000">
        <w:rPr>
          <w:rtl w:val="0"/>
        </w:rPr>
      </w:r>
    </w:p>
    <w:p w:rsidR="00000000" w:rsidDel="00000000" w:rsidP="00000000" w:rsidRDefault="00000000" w:rsidRPr="00000000" w14:paraId="00000081">
      <w:pPr>
        <w:numPr>
          <w:ilvl w:val="1"/>
          <w:numId w:val="5"/>
        </w:numPr>
        <w:ind w:left="1440" w:hanging="360"/>
        <w:rPr>
          <w:b w:val="1"/>
          <w:bCs w:val="1"/>
        </w:rPr>
      </w:pPr>
      <w:r w:rsidDel="00000000" w:rsidR="00000000" w:rsidRPr="00000000">
        <w:rPr>
          <w:b w:val="1"/>
          <w:bCs w:val="1"/>
          <w:rtl w:val="0"/>
        </w:rPr>
        <w:t xml:space="preserve">Finding new cases</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ind w:firstLine="720"/>
        <w:rPr/>
      </w:pPr>
      <w:r w:rsidDel="00000000" w:rsidR="00000000" w:rsidRPr="00000000">
        <w:rPr>
          <w:rtl w:val="0"/>
        </w:rPr>
        <w:t xml:space="preserve">New cases to add to the database can be found in a variety of sources. Any case that involves an application of AI, broadly defined, is generally relevant to include in the database. Searches in general search engines can be helpful in discovering new cases. You will need to try out various keywords to see what works.  Often it will be a combination of one keyword or phrase representing the technology (“artificial intelligence” “algorithm” “predictive algorithm” “generative ai” “self-driving” and so on) and one keyword or phrase representing an area of law (“employment discrimination” “privacy” “copyright” etc.)  Using some of the terms that are used in the database in the “Area of Application,” Cause of Action,” and “Issue” fields may help.  You may want to use a date restriction in the search to look for recent news, so that you don’t keep finding cases that are already in the database.  </w:t>
      </w:r>
    </w:p>
    <w:p w:rsidR="00000000" w:rsidDel="00000000" w:rsidP="00000000" w:rsidRDefault="00000000" w:rsidRPr="00000000" w14:paraId="00000084">
      <w:pPr>
        <w:ind w:firstLine="720"/>
        <w:rPr/>
      </w:pPr>
      <w:r w:rsidDel="00000000" w:rsidR="00000000" w:rsidRPr="00000000">
        <w:rPr>
          <w:rtl w:val="0"/>
        </w:rPr>
        <w:t xml:space="preserve">Other more specific sources of information include:</w:t>
      </w:r>
    </w:p>
    <w:p w:rsidR="00000000" w:rsidDel="00000000" w:rsidP="00000000" w:rsidRDefault="00000000" w:rsidRPr="00000000" w14:paraId="00000085">
      <w:pPr>
        <w:ind w:firstLine="720"/>
        <w:rPr/>
      </w:pPr>
      <w:r w:rsidDel="00000000" w:rsidR="00000000" w:rsidRPr="00000000">
        <w:rPr>
          <w:rtl w:val="0"/>
        </w:rPr>
      </w:r>
    </w:p>
    <w:p w:rsidR="00000000" w:rsidDel="00000000" w:rsidP="00000000" w:rsidRDefault="00000000" w:rsidRPr="00000000" w14:paraId="00000086">
      <w:pPr>
        <w:numPr>
          <w:ilvl w:val="0"/>
          <w:numId w:val="3"/>
        </w:numPr>
        <w:ind w:left="1440" w:hanging="360"/>
      </w:pPr>
      <w:hyperlink r:id="rId9">
        <w:r w:rsidDel="00000000" w:rsidR="00000000" w:rsidRPr="00000000">
          <w:rPr>
            <w:color w:val="1155cc"/>
            <w:u w:val="single"/>
            <w:rtl w:val="0"/>
          </w:rPr>
          <w:t xml:space="preserve">Tech Policy Press</w:t>
        </w:r>
      </w:hyperlink>
      <w:r w:rsidDel="00000000" w:rsidR="00000000" w:rsidRPr="00000000">
        <w:rPr>
          <w:rtl w:val="0"/>
        </w:rPr>
        <w:t xml:space="preserve"> does a monthly Litigation Roundup that covers new cases and updates </w:t>
      </w:r>
      <w:hyperlink r:id="rId10">
        <w:r w:rsidDel="00000000" w:rsidR="00000000" w:rsidRPr="00000000">
          <w:rPr>
            <w:color w:val="1155cc"/>
            <w:u w:val="single"/>
            <w:rtl w:val="0"/>
          </w:rPr>
          <w:t xml:space="preserve">(this is the link to November 2025)</w:t>
        </w:r>
      </w:hyperlink>
      <w:r w:rsidDel="00000000" w:rsidR="00000000" w:rsidRPr="00000000">
        <w:rPr>
          <w:rtl w:val="0"/>
        </w:rPr>
        <w:t xml:space="preserve">.  It also maintains a </w:t>
      </w:r>
      <w:hyperlink r:id="rId11">
        <w:r w:rsidDel="00000000" w:rsidR="00000000" w:rsidRPr="00000000">
          <w:rPr>
            <w:color w:val="1155cc"/>
            <w:u w:val="single"/>
            <w:rtl w:val="0"/>
          </w:rPr>
          <w:t xml:space="preserve">Policy Tracker database</w:t>
        </w:r>
      </w:hyperlink>
      <w:r w:rsidDel="00000000" w:rsidR="00000000" w:rsidRPr="00000000">
        <w:rPr>
          <w:rtl w:val="0"/>
        </w:rPr>
        <w:t xml:space="preserve"> that includes cases (as well as legislation, executive orders, etc.)</w:t>
      </w:r>
      <w:r w:rsidDel="00000000" w:rsidR="00000000" w:rsidRPr="00000000">
        <w:rPr>
          <w:rtl w:val="0"/>
        </w:rPr>
      </w:r>
    </w:p>
    <w:p w:rsidR="00000000" w:rsidDel="00000000" w:rsidP="00000000" w:rsidRDefault="00000000" w:rsidRPr="00000000" w14:paraId="00000087">
      <w:pPr>
        <w:numPr>
          <w:ilvl w:val="0"/>
          <w:numId w:val="3"/>
        </w:numPr>
        <w:ind w:left="1440" w:hanging="360"/>
      </w:pPr>
      <w:hyperlink r:id="rId12">
        <w:r w:rsidDel="00000000" w:rsidR="00000000" w:rsidRPr="00000000">
          <w:rPr>
            <w:color w:val="1155cc"/>
            <w:u w:val="single"/>
            <w:rtl w:val="0"/>
          </w:rPr>
          <w:t xml:space="preserve">Bloomberg Law</w:t>
        </w:r>
      </w:hyperlink>
      <w:r w:rsidDel="00000000" w:rsidR="00000000" w:rsidRPr="00000000">
        <w:rPr>
          <w:rtl w:val="0"/>
        </w:rPr>
        <w:t xml:space="preserve"> allows searches in its “Court Dockets” collection, which appears to allow full-text search of any document that is included in covered court dockets. It is not clear exactly what dockets are covered, but they include both federal and state cases. More experimentation is needed to formulate searches that will return relevant cases without being too broad.  For example, many dockets now include a Standing Order Regarding the Use of Artificial Intelligence, so a search for "artificial intelligence" AND not(Standing Order Regarding Use of Artificial Intelligence) will narrow the search scope, but that still returns a lot of irrelevant cases.</w:t>
      </w:r>
    </w:p>
    <w:p w:rsidR="00000000" w:rsidDel="00000000" w:rsidP="00000000" w:rsidRDefault="00000000" w:rsidRPr="00000000" w14:paraId="00000088">
      <w:pPr>
        <w:numPr>
          <w:ilvl w:val="0"/>
          <w:numId w:val="3"/>
        </w:numPr>
        <w:ind w:left="1440" w:hanging="360"/>
      </w:pPr>
      <w:r w:rsidDel="00000000" w:rsidR="00000000" w:rsidRPr="00000000">
        <w:rPr>
          <w:rtl w:val="0"/>
        </w:rPr>
        <w:t xml:space="preserve">The </w:t>
      </w:r>
      <w:hyperlink r:id="rId13">
        <w:r w:rsidDel="00000000" w:rsidR="00000000" w:rsidRPr="00000000">
          <w:rPr>
            <w:color w:val="1155cc"/>
            <w:u w:val="single"/>
            <w:rtl w:val="0"/>
          </w:rPr>
          <w:t xml:space="preserve">Tech Litigation Database</w:t>
        </w:r>
      </w:hyperlink>
      <w:r w:rsidDel="00000000" w:rsidR="00000000" w:rsidRPr="00000000">
        <w:rPr>
          <w:rtl w:val="0"/>
        </w:rPr>
        <w:t xml:space="preserve"> (more EU-focused, includes only cases with published opinions)</w:t>
      </w:r>
    </w:p>
    <w:p w:rsidR="00000000" w:rsidDel="00000000" w:rsidP="00000000" w:rsidRDefault="00000000" w:rsidRPr="00000000" w14:paraId="00000089">
      <w:pPr>
        <w:numPr>
          <w:ilvl w:val="0"/>
          <w:numId w:val="4"/>
        </w:numPr>
        <w:ind w:left="1440" w:hanging="360"/>
      </w:pPr>
      <w:r w:rsidDel="00000000" w:rsidR="00000000" w:rsidRPr="00000000">
        <w:rPr>
          <w:rtl w:val="0"/>
        </w:rPr>
        <w:t xml:space="preserve">Law firm blogs (e.g., </w:t>
      </w:r>
      <w:hyperlink r:id="rId14">
        <w:r w:rsidDel="00000000" w:rsidR="00000000" w:rsidRPr="00000000">
          <w:rPr>
            <w:color w:val="1155cc"/>
            <w:u w:val="single"/>
            <w:rtl w:val="0"/>
          </w:rPr>
          <w:t xml:space="preserve">Sheppard Mullin’s AI Law and Policy Blog</w:t>
        </w:r>
      </w:hyperlink>
      <w:r w:rsidDel="00000000" w:rsidR="00000000" w:rsidRPr="00000000">
        <w:rPr>
          <w:rtl w:val="0"/>
        </w:rPr>
        <w:t xml:space="preserve">)</w:t>
      </w:r>
    </w:p>
    <w:p w:rsidR="00000000" w:rsidDel="00000000" w:rsidP="00000000" w:rsidRDefault="00000000" w:rsidRPr="00000000" w14:paraId="0000008A">
      <w:pPr>
        <w:numPr>
          <w:ilvl w:val="0"/>
          <w:numId w:val="4"/>
        </w:numPr>
        <w:ind w:left="1440" w:hanging="360"/>
      </w:pPr>
      <w:hyperlink r:id="rId15">
        <w:r w:rsidDel="00000000" w:rsidR="00000000" w:rsidRPr="00000000">
          <w:rPr>
            <w:color w:val="1155cc"/>
            <w:u w:val="single"/>
            <w:rtl w:val="0"/>
          </w:rPr>
          <w:t xml:space="preserve">Reuters</w:t>
        </w:r>
      </w:hyperlink>
      <w:r w:rsidDel="00000000" w:rsidR="00000000" w:rsidRPr="00000000">
        <w:rPr>
          <w:rtl w:val="0"/>
        </w:rPr>
        <w:t xml:space="preserve"> AI news</w:t>
      </w:r>
    </w:p>
    <w:p w:rsidR="00000000" w:rsidDel="00000000" w:rsidP="00000000" w:rsidRDefault="00000000" w:rsidRPr="00000000" w14:paraId="0000008B">
      <w:pPr>
        <w:numPr>
          <w:ilvl w:val="0"/>
          <w:numId w:val="4"/>
        </w:numPr>
        <w:ind w:left="1440" w:hanging="360"/>
      </w:pPr>
      <w:hyperlink r:id="rId16">
        <w:r w:rsidDel="00000000" w:rsidR="00000000" w:rsidRPr="00000000">
          <w:rPr>
            <w:color w:val="1155cc"/>
            <w:u w:val="single"/>
            <w:rtl w:val="0"/>
          </w:rPr>
          <w:t xml:space="preserve">The National Law Review</w:t>
        </w:r>
      </w:hyperlink>
      <w:r w:rsidDel="00000000" w:rsidR="00000000" w:rsidRPr="00000000">
        <w:rPr>
          <w:rtl w:val="0"/>
        </w:rPr>
        <w:t xml:space="preserve"> AI news</w:t>
      </w:r>
    </w:p>
    <w:p w:rsidR="00000000" w:rsidDel="00000000" w:rsidP="00000000" w:rsidRDefault="00000000" w:rsidRPr="00000000" w14:paraId="0000008C">
      <w:pPr>
        <w:numPr>
          <w:ilvl w:val="0"/>
          <w:numId w:val="4"/>
        </w:numPr>
        <w:ind w:left="1440" w:hanging="360"/>
      </w:pPr>
      <w:r w:rsidDel="00000000" w:rsidR="00000000" w:rsidRPr="00000000">
        <w:rPr>
          <w:rtl w:val="0"/>
        </w:rPr>
        <w:t xml:space="preserve">News about AI in popular/mainstream press (e.g., </w:t>
      </w:r>
      <w:hyperlink r:id="rId17">
        <w:r w:rsidDel="00000000" w:rsidR="00000000" w:rsidRPr="00000000">
          <w:rPr>
            <w:i w:val="1"/>
            <w:iCs w:val="1"/>
            <w:color w:val="1155cc"/>
            <w:u w:val="single"/>
            <w:rtl w:val="0"/>
          </w:rPr>
          <w:t xml:space="preserve">The New York Times</w:t>
        </w:r>
      </w:hyperlink>
      <w:r w:rsidDel="00000000" w:rsidR="00000000" w:rsidRPr="00000000">
        <w:rPr>
          <w:rtl w:val="0"/>
        </w:rPr>
        <w:t xml:space="preserve">, </w:t>
      </w:r>
      <w:hyperlink r:id="rId18">
        <w:r w:rsidDel="00000000" w:rsidR="00000000" w:rsidRPr="00000000">
          <w:rPr>
            <w:i w:val="1"/>
            <w:iCs w:val="1"/>
            <w:color w:val="1155cc"/>
            <w:u w:val="single"/>
            <w:rtl w:val="0"/>
          </w:rPr>
          <w:t xml:space="preserve">The Wall Street Journal</w:t>
        </w:r>
      </w:hyperlink>
      <w:r w:rsidDel="00000000" w:rsidR="00000000" w:rsidRPr="00000000">
        <w:rPr>
          <w:rtl w:val="0"/>
        </w:rPr>
        <w:t xml:space="preserve">, </w:t>
      </w:r>
      <w:hyperlink r:id="rId19">
        <w:r w:rsidDel="00000000" w:rsidR="00000000" w:rsidRPr="00000000">
          <w:rPr>
            <w:i w:val="1"/>
            <w:iCs w:val="1"/>
            <w:color w:val="1155cc"/>
            <w:u w:val="single"/>
            <w:rtl w:val="0"/>
          </w:rPr>
          <w:t xml:space="preserve">Financial Times</w:t>
        </w:r>
      </w:hyperlink>
      <w:r w:rsidDel="00000000" w:rsidR="00000000" w:rsidRPr="00000000">
        <w:rPr>
          <w:rtl w:val="0"/>
        </w:rPr>
        <w:t xml:space="preserve">)</w:t>
      </w:r>
    </w:p>
    <w:p w:rsidR="00000000" w:rsidDel="00000000" w:rsidP="00000000" w:rsidRDefault="00000000" w:rsidRPr="00000000" w14:paraId="0000008D">
      <w:pPr>
        <w:numPr>
          <w:ilvl w:val="0"/>
          <w:numId w:val="4"/>
        </w:numPr>
        <w:ind w:left="1440" w:hanging="360"/>
      </w:pPr>
      <w:r w:rsidDel="00000000" w:rsidR="00000000" w:rsidRPr="00000000">
        <w:rPr>
          <w:rtl w:val="0"/>
        </w:rPr>
        <w:t xml:space="preserve">News about AI on technology news websites (e.g., </w:t>
      </w:r>
      <w:hyperlink r:id="rId20">
        <w:r w:rsidDel="00000000" w:rsidR="00000000" w:rsidRPr="00000000">
          <w:rPr>
            <w:i w:val="1"/>
            <w:iCs w:val="1"/>
            <w:color w:val="1155cc"/>
            <w:u w:val="single"/>
            <w:rtl w:val="0"/>
          </w:rPr>
          <w:t xml:space="preserve">The Verge</w:t>
        </w:r>
      </w:hyperlink>
      <w:r w:rsidDel="00000000" w:rsidR="00000000" w:rsidRPr="00000000">
        <w:rPr>
          <w:rtl w:val="0"/>
        </w:rPr>
        <w:t xml:space="preserve">, </w:t>
      </w:r>
      <w:hyperlink r:id="rId21">
        <w:r w:rsidDel="00000000" w:rsidR="00000000" w:rsidRPr="00000000">
          <w:rPr>
            <w:i w:val="1"/>
            <w:iCs w:val="1"/>
            <w:color w:val="1155cc"/>
            <w:u w:val="single"/>
            <w:rtl w:val="0"/>
          </w:rPr>
          <w:t xml:space="preserve">Tech Times</w:t>
        </w:r>
      </w:hyperlink>
      <w:r w:rsidDel="00000000" w:rsidR="00000000" w:rsidRPr="00000000">
        <w:rPr>
          <w:rtl w:val="0"/>
        </w:rPr>
        <w:t xml:space="preserve">, </w:t>
      </w:r>
      <w:hyperlink r:id="rId22">
        <w:r w:rsidDel="00000000" w:rsidR="00000000" w:rsidRPr="00000000">
          <w:rPr>
            <w:i w:val="1"/>
            <w:iCs w:val="1"/>
            <w:color w:val="1155cc"/>
            <w:u w:val="single"/>
            <w:rtl w:val="0"/>
          </w:rPr>
          <w:t xml:space="preserve">TechCrunch</w:t>
        </w:r>
      </w:hyperlink>
      <w:r w:rsidDel="00000000" w:rsidR="00000000" w:rsidRPr="00000000">
        <w:rPr>
          <w:rtl w:val="0"/>
        </w:rPr>
        <w:t xml:space="preserve">)</w:t>
      </w:r>
    </w:p>
    <w:p w:rsidR="00000000" w:rsidDel="00000000" w:rsidP="00000000" w:rsidRDefault="00000000" w:rsidRPr="00000000" w14:paraId="0000008E">
      <w:pPr>
        <w:numPr>
          <w:ilvl w:val="0"/>
          <w:numId w:val="4"/>
        </w:numPr>
        <w:ind w:left="1440" w:hanging="360"/>
      </w:pPr>
      <w:hyperlink r:id="rId23">
        <w:r w:rsidDel="00000000" w:rsidR="00000000" w:rsidRPr="00000000">
          <w:rPr>
            <w:color w:val="1155cc"/>
            <w:u w:val="single"/>
            <w:rtl w:val="0"/>
          </w:rPr>
          <w:t xml:space="preserve">Westlaw</w:t>
        </w:r>
      </w:hyperlink>
      <w:r w:rsidDel="00000000" w:rsidR="00000000" w:rsidRPr="00000000">
        <w:rPr>
          <w:rtl w:val="0"/>
        </w:rPr>
        <w:t xml:space="preserve"> alerts tailored to AI</w:t>
      </w:r>
    </w:p>
    <w:p w:rsidR="00000000" w:rsidDel="00000000" w:rsidP="00000000" w:rsidRDefault="00000000" w:rsidRPr="00000000" w14:paraId="0000008F">
      <w:pPr>
        <w:numPr>
          <w:ilvl w:val="0"/>
          <w:numId w:val="4"/>
        </w:numPr>
        <w:ind w:left="1440" w:hanging="360"/>
      </w:pPr>
      <w:hyperlink r:id="rId24">
        <w:r w:rsidDel="00000000" w:rsidR="00000000" w:rsidRPr="00000000">
          <w:rPr>
            <w:color w:val="1155cc"/>
            <w:u w:val="single"/>
            <w:rtl w:val="0"/>
          </w:rPr>
          <w:t xml:space="preserve">LexisNexis Law360</w:t>
        </w:r>
      </w:hyperlink>
      <w:r w:rsidDel="00000000" w:rsidR="00000000" w:rsidRPr="00000000">
        <w:rPr>
          <w:rtl w:val="0"/>
        </w:rPr>
        <w:t xml:space="preserve"> alerts on topics such as technology and IP</w:t>
      </w:r>
    </w:p>
    <w:p w:rsidR="00000000" w:rsidDel="00000000" w:rsidP="00000000" w:rsidRDefault="00000000" w:rsidRPr="00000000" w14:paraId="00000090">
      <w:pPr>
        <w:numPr>
          <w:ilvl w:val="0"/>
          <w:numId w:val="4"/>
        </w:numPr>
        <w:ind w:left="1440" w:hanging="360"/>
      </w:pPr>
      <w:r w:rsidDel="00000000" w:rsidR="00000000" w:rsidRPr="00000000">
        <w:rPr>
          <w:rtl w:val="0"/>
        </w:rPr>
        <w:t xml:space="preserve">ABA’s </w:t>
      </w:r>
      <w:r w:rsidDel="00000000" w:rsidR="00000000" w:rsidRPr="00000000">
        <w:rPr>
          <w:color w:val="292d2e"/>
          <w:rtl w:val="0"/>
        </w:rPr>
        <w:t xml:space="preserve">Business and Corporate Litigation Committee, Business Law Section has an AI Chapter which regularly publishes AI-Related litigation</w:t>
      </w:r>
    </w:p>
    <w:p w:rsidR="00000000" w:rsidDel="00000000" w:rsidP="00000000" w:rsidRDefault="00000000" w:rsidRPr="00000000" w14:paraId="00000091">
      <w:pPr>
        <w:numPr>
          <w:ilvl w:val="1"/>
          <w:numId w:val="4"/>
        </w:numPr>
        <w:ind w:left="2160" w:hanging="360"/>
      </w:pPr>
      <w:r w:rsidDel="00000000" w:rsidR="00000000" w:rsidRPr="00000000">
        <w:rPr>
          <w:color w:val="292d2e"/>
          <w:rtl w:val="0"/>
        </w:rPr>
        <w:t xml:space="preserve">https://businesslawtoday.org/2021/06/recent-developments-in-artificial-intelligence-cases/ </w:t>
      </w:r>
    </w:p>
    <w:p w:rsidR="00000000" w:rsidDel="00000000" w:rsidP="00000000" w:rsidRDefault="00000000" w:rsidRPr="00000000" w14:paraId="00000092">
      <w:pPr>
        <w:numPr>
          <w:ilvl w:val="1"/>
          <w:numId w:val="4"/>
        </w:numPr>
        <w:ind w:left="2160" w:hanging="360"/>
        <w:rPr>
          <w:color w:val="292d2e"/>
        </w:rPr>
      </w:pPr>
      <w:r w:rsidDel="00000000" w:rsidR="00000000" w:rsidRPr="00000000">
        <w:rPr>
          <w:color w:val="292d2e"/>
          <w:rtl w:val="0"/>
        </w:rPr>
        <w:t xml:space="preserve">https://businesslawtoday.org/practice-area/internet-law-cyber-security/</w:t>
      </w:r>
      <w:r w:rsidDel="00000000" w:rsidR="00000000" w:rsidRPr="00000000">
        <w:rPr>
          <w:rtl w:val="0"/>
        </w:rPr>
      </w:r>
    </w:p>
    <w:p w:rsidR="00000000" w:rsidDel="00000000" w:rsidP="00000000" w:rsidRDefault="00000000" w:rsidRPr="00000000" w14:paraId="00000093">
      <w:pPr>
        <w:numPr>
          <w:ilvl w:val="0"/>
          <w:numId w:val="4"/>
        </w:numPr>
        <w:ind w:left="1440" w:hanging="360"/>
      </w:pPr>
      <w:r w:rsidDel="00000000" w:rsidR="00000000" w:rsidRPr="00000000">
        <w:rPr>
          <w:rtl w:val="0"/>
        </w:rPr>
        <w:t xml:space="preserve">EPIC (sometimes they also post related court documents)</w:t>
      </w:r>
    </w:p>
    <w:p w:rsidR="00000000" w:rsidDel="00000000" w:rsidP="00000000" w:rsidRDefault="00000000" w:rsidRPr="00000000" w14:paraId="00000094">
      <w:pPr>
        <w:numPr>
          <w:ilvl w:val="1"/>
          <w:numId w:val="4"/>
        </w:numPr>
        <w:ind w:left="2160" w:hanging="360"/>
      </w:pPr>
      <w:hyperlink r:id="rId25">
        <w:r w:rsidDel="00000000" w:rsidR="00000000" w:rsidRPr="00000000">
          <w:rPr>
            <w:color w:val="1155cc"/>
            <w:u w:val="single"/>
            <w:rtl w:val="0"/>
          </w:rPr>
          <w:t xml:space="preserve">https://epic.org</w:t>
        </w:r>
      </w:hyperlink>
      <w:r w:rsidDel="00000000" w:rsidR="00000000" w:rsidRPr="00000000">
        <w:rPr>
          <w:rtl w:val="0"/>
        </w:rPr>
      </w:r>
    </w:p>
    <w:p w:rsidR="00000000" w:rsidDel="00000000" w:rsidP="00000000" w:rsidRDefault="00000000" w:rsidRPr="00000000" w14:paraId="00000095">
      <w:pPr>
        <w:numPr>
          <w:ilvl w:val="1"/>
          <w:numId w:val="4"/>
        </w:numPr>
        <w:ind w:left="2160" w:hanging="360"/>
      </w:pPr>
      <w:r w:rsidDel="00000000" w:rsidR="00000000" w:rsidRPr="00000000">
        <w:rPr>
          <w:rtl w:val="0"/>
        </w:rPr>
        <w:t xml:space="preserve">Sometimes they don’t update court documents when litigations are concluded</w:t>
      </w:r>
    </w:p>
    <w:p w:rsidR="00000000" w:rsidDel="00000000" w:rsidP="00000000" w:rsidRDefault="00000000" w:rsidRPr="00000000" w14:paraId="00000096">
      <w:pPr>
        <w:numPr>
          <w:ilvl w:val="0"/>
          <w:numId w:val="4"/>
        </w:numPr>
        <w:ind w:left="1440" w:hanging="360"/>
      </w:pPr>
      <w:r w:rsidDel="00000000" w:rsidR="00000000" w:rsidRPr="00000000">
        <w:rPr>
          <w:rtl w:val="0"/>
        </w:rPr>
        <w:t xml:space="preserve">The AIAAIC Repository: “</w:t>
      </w:r>
      <w:r w:rsidDel="00000000" w:rsidR="00000000" w:rsidRPr="00000000">
        <w:rPr>
          <w:color w:val="434343"/>
          <w:rtl w:val="0"/>
        </w:rPr>
        <w:t xml:space="preserve">AI, algorithmic, and automation incidents and controversies collected, dissected, examined, and divulged”</w:t>
      </w:r>
      <w:r w:rsidDel="00000000" w:rsidR="00000000" w:rsidRPr="00000000">
        <w:rPr>
          <w:i w:val="1"/>
          <w:iCs w:val="1"/>
          <w:color w:val="434343"/>
          <w:rtl w:val="0"/>
        </w:rPr>
        <w:t xml:space="preserve"> </w:t>
      </w:r>
      <w:r w:rsidDel="00000000" w:rsidR="00000000" w:rsidRPr="00000000">
        <w:rPr>
          <w:color w:val="434343"/>
          <w:rtl w:val="0"/>
        </w:rPr>
        <w:t xml:space="preserve">- </w:t>
      </w:r>
      <w:hyperlink r:id="rId26">
        <w:r w:rsidDel="00000000" w:rsidR="00000000" w:rsidRPr="00000000">
          <w:rPr>
            <w:color w:val="1155cc"/>
            <w:u w:val="single"/>
            <w:rtl w:val="0"/>
          </w:rPr>
          <w:t xml:space="preserve">https://www.aiaaic.org/aiaaic-repository</w:t>
        </w:r>
      </w:hyperlink>
      <w:r w:rsidDel="00000000" w:rsidR="00000000" w:rsidRPr="00000000">
        <w:rPr>
          <w:rtl w:val="0"/>
        </w:rPr>
        <w:t xml:space="preserve"> </w:t>
      </w:r>
    </w:p>
    <w:p w:rsidR="00000000" w:rsidDel="00000000" w:rsidP="00000000" w:rsidRDefault="00000000" w:rsidRPr="00000000" w14:paraId="00000097">
      <w:pPr>
        <w:numPr>
          <w:ilvl w:val="0"/>
          <w:numId w:val="4"/>
        </w:numPr>
        <w:ind w:left="1440" w:hanging="360"/>
      </w:pPr>
      <w:r w:rsidDel="00000000" w:rsidR="00000000" w:rsidRPr="00000000">
        <w:rPr>
          <w:rtl w:val="0"/>
        </w:rPr>
        <w:t xml:space="preserve">The AI Incident Database: </w:t>
      </w:r>
      <w:hyperlink r:id="rId27">
        <w:r w:rsidDel="00000000" w:rsidR="00000000" w:rsidRPr="00000000">
          <w:rPr>
            <w:color w:val="1155cc"/>
            <w:u w:val="single"/>
            <w:rtl w:val="0"/>
          </w:rPr>
          <w:t xml:space="preserve">https://incidentdatabase.ai/</w:t>
        </w:r>
      </w:hyperlink>
      <w:r w:rsidDel="00000000" w:rsidR="00000000" w:rsidRPr="00000000">
        <w:rPr>
          <w:rtl w:val="0"/>
        </w:rPr>
      </w:r>
    </w:p>
    <w:p w:rsidR="00000000" w:rsidDel="00000000" w:rsidP="00000000" w:rsidRDefault="00000000" w:rsidRPr="00000000" w14:paraId="00000098">
      <w:pPr>
        <w:numPr>
          <w:ilvl w:val="0"/>
          <w:numId w:val="4"/>
        </w:numPr>
        <w:ind w:left="1440" w:hanging="360"/>
        <w:rPr>
          <w:u w:val="none"/>
        </w:rPr>
      </w:pPr>
      <w:r w:rsidDel="00000000" w:rsidR="00000000" w:rsidRPr="00000000">
        <w:rPr>
          <w:rtl w:val="0"/>
        </w:rPr>
        <w:t xml:space="preserve">Baker Hostetler AI Case tracker: </w:t>
      </w:r>
      <w:hyperlink r:id="rId28">
        <w:r w:rsidDel="00000000" w:rsidR="00000000" w:rsidRPr="00000000">
          <w:rPr>
            <w:color w:val="1155cc"/>
            <w:u w:val="single"/>
            <w:rtl w:val="0"/>
          </w:rPr>
          <w:t xml:space="preserve">https://www.bakerlaw.com/services/artificial-intelligence-ai/case-tracker-artificial-intelligence-copyrights-and-class-actions/</w:t>
        </w:r>
      </w:hyperlink>
      <w:r w:rsidDel="00000000" w:rsidR="00000000" w:rsidRPr="00000000">
        <w:rPr>
          <w:rtl w:val="0"/>
        </w:rPr>
        <w:t xml:space="preserve"> </w:t>
      </w:r>
    </w:p>
    <w:p w:rsidR="00000000" w:rsidDel="00000000" w:rsidP="00000000" w:rsidRDefault="00000000" w:rsidRPr="00000000" w14:paraId="00000099">
      <w:pPr>
        <w:numPr>
          <w:ilvl w:val="0"/>
          <w:numId w:val="4"/>
        </w:numPr>
        <w:ind w:left="1440" w:hanging="360"/>
        <w:rPr>
          <w:u w:val="none"/>
        </w:rPr>
      </w:pPr>
      <w:r w:rsidDel="00000000" w:rsidR="00000000" w:rsidRPr="00000000">
        <w:rPr>
          <w:rtl w:val="0"/>
        </w:rPr>
        <w:t xml:space="preserve">McKool Smith AI Litigation Tracker: </w:t>
      </w:r>
      <w:hyperlink r:id="rId29">
        <w:r w:rsidDel="00000000" w:rsidR="00000000" w:rsidRPr="00000000">
          <w:rPr>
            <w:color w:val="1155cc"/>
            <w:u w:val="single"/>
            <w:rtl w:val="0"/>
          </w:rPr>
          <w:t xml:space="preserve">https://www.mckoolsmith.com/newsroom-ailitigation</w:t>
        </w:r>
      </w:hyperlink>
      <w:r w:rsidDel="00000000" w:rsidR="00000000" w:rsidRPr="00000000">
        <w:rPr>
          <w:rtl w:val="0"/>
        </w:rPr>
        <w:t xml:space="preserve"> </w:t>
      </w:r>
    </w:p>
    <w:p w:rsidR="00000000" w:rsidDel="00000000" w:rsidP="00000000" w:rsidRDefault="00000000" w:rsidRPr="00000000" w14:paraId="0000009A">
      <w:pPr>
        <w:numPr>
          <w:ilvl w:val="0"/>
          <w:numId w:val="4"/>
        </w:numPr>
        <w:ind w:left="1440" w:hanging="360"/>
        <w:rPr>
          <w:u w:val="none"/>
        </w:rPr>
      </w:pPr>
      <w:r w:rsidDel="00000000" w:rsidR="00000000" w:rsidRPr="00000000">
        <w:rPr>
          <w:rtl w:val="0"/>
        </w:rPr>
        <w:t xml:space="preserve">Mishcon de Reya Generative AI Cases and Policy Tracker (helpful for international disputes): </w:t>
      </w:r>
      <w:hyperlink r:id="rId30">
        <w:r w:rsidDel="00000000" w:rsidR="00000000" w:rsidRPr="00000000">
          <w:rPr>
            <w:color w:val="1155cc"/>
            <w:u w:val="single"/>
            <w:rtl w:val="0"/>
          </w:rPr>
          <w:t xml:space="preserve">https://www.mishcon.com/generative-ai-intellectual-property-cases-and-policy-tracker</w:t>
        </w:r>
      </w:hyperlink>
      <w:r w:rsidDel="00000000" w:rsidR="00000000" w:rsidRPr="00000000">
        <w:rPr>
          <w:rtl w:val="0"/>
        </w:rPr>
        <w:t xml:space="preserve"> </w:t>
      </w:r>
    </w:p>
    <w:p w:rsidR="00000000" w:rsidDel="00000000" w:rsidP="00000000" w:rsidRDefault="00000000" w:rsidRPr="00000000" w14:paraId="0000009B">
      <w:pPr>
        <w:ind w:left="1440" w:firstLine="0"/>
        <w:rPr>
          <w:b w:val="1"/>
          <w:bCs w:val="1"/>
        </w:rPr>
      </w:pPr>
      <w:r w:rsidDel="00000000" w:rsidR="00000000" w:rsidRPr="00000000">
        <w:rPr>
          <w:rtl w:val="0"/>
        </w:rPr>
      </w:r>
    </w:p>
    <w:p w:rsidR="00000000" w:rsidDel="00000000" w:rsidP="00000000" w:rsidRDefault="00000000" w:rsidRPr="00000000" w14:paraId="0000009C">
      <w:pPr>
        <w:ind w:left="1440" w:firstLine="0"/>
        <w:rPr>
          <w:b w:val="1"/>
          <w:bCs w:val="1"/>
        </w:rPr>
      </w:pPr>
      <w:r w:rsidDel="00000000" w:rsidR="00000000" w:rsidRPr="00000000">
        <w:rPr>
          <w:rtl w:val="0"/>
        </w:rPr>
      </w:r>
    </w:p>
    <w:p w:rsidR="00000000" w:rsidDel="00000000" w:rsidP="00000000" w:rsidRDefault="00000000" w:rsidRPr="00000000" w14:paraId="0000009D">
      <w:pPr>
        <w:ind w:left="1440" w:firstLine="0"/>
        <w:rPr>
          <w:b w:val="1"/>
          <w:bCs w:val="1"/>
        </w:rPr>
      </w:pPr>
      <w:r w:rsidDel="00000000" w:rsidR="00000000" w:rsidRPr="00000000">
        <w:rPr>
          <w:rtl w:val="0"/>
        </w:rPr>
      </w:r>
    </w:p>
    <w:p w:rsidR="00000000" w:rsidDel="00000000" w:rsidP="00000000" w:rsidRDefault="00000000" w:rsidRPr="00000000" w14:paraId="0000009E">
      <w:pPr>
        <w:ind w:left="1440" w:firstLine="0"/>
        <w:rPr>
          <w:b w:val="1"/>
          <w:bCs w:val="1"/>
        </w:rPr>
      </w:pPr>
      <w:r w:rsidDel="00000000" w:rsidR="00000000" w:rsidRPr="00000000">
        <w:rPr>
          <w:rtl w:val="0"/>
        </w:rPr>
      </w:r>
    </w:p>
    <w:p w:rsidR="00000000" w:rsidDel="00000000" w:rsidP="00000000" w:rsidRDefault="00000000" w:rsidRPr="00000000" w14:paraId="0000009F">
      <w:pPr>
        <w:numPr>
          <w:ilvl w:val="1"/>
          <w:numId w:val="5"/>
        </w:numPr>
        <w:ind w:left="1440" w:hanging="360"/>
        <w:rPr>
          <w:b w:val="1"/>
          <w:bCs w:val="1"/>
        </w:rPr>
      </w:pPr>
      <w:r w:rsidDel="00000000" w:rsidR="00000000" w:rsidRPr="00000000">
        <w:rPr>
          <w:b w:val="1"/>
          <w:bCs w:val="1"/>
          <w:rtl w:val="0"/>
        </w:rPr>
        <w:t xml:space="preserve">Locating Information About Cases</w:t>
      </w:r>
    </w:p>
    <w:p w:rsidR="00000000" w:rsidDel="00000000" w:rsidP="00000000" w:rsidRDefault="00000000" w:rsidRPr="00000000" w14:paraId="000000A0">
      <w:pPr>
        <w:ind w:left="1440" w:firstLine="720"/>
        <w:rPr>
          <w:b w:val="1"/>
          <w:bCs w:val="1"/>
        </w:rPr>
      </w:pPr>
      <w:r w:rsidDel="00000000" w:rsidR="00000000" w:rsidRPr="00000000">
        <w:rPr>
          <w:rtl w:val="0"/>
        </w:rPr>
      </w:r>
    </w:p>
    <w:p w:rsidR="00000000" w:rsidDel="00000000" w:rsidP="00000000" w:rsidRDefault="00000000" w:rsidRPr="00000000" w14:paraId="000000A1">
      <w:pPr>
        <w:ind w:firstLine="720"/>
        <w:rPr/>
      </w:pPr>
      <w:r w:rsidDel="00000000" w:rsidR="00000000" w:rsidRPr="00000000">
        <w:rPr>
          <w:rtl w:val="0"/>
        </w:rPr>
        <w:t xml:space="preserve">You will often first find mention of a new case in a secondary source, such as a newspaper article.  </w:t>
      </w:r>
    </w:p>
    <w:p w:rsidR="00000000" w:rsidDel="00000000" w:rsidP="00000000" w:rsidRDefault="00000000" w:rsidRPr="00000000" w14:paraId="000000A2">
      <w:pPr>
        <w:ind w:firstLine="720"/>
        <w:rPr/>
      </w:pPr>
      <w:r w:rsidDel="00000000" w:rsidR="00000000" w:rsidRPr="00000000">
        <w:rPr>
          <w:rtl w:val="0"/>
        </w:rPr>
      </w:r>
    </w:p>
    <w:p w:rsidR="00000000" w:rsidDel="00000000" w:rsidP="00000000" w:rsidRDefault="00000000" w:rsidRPr="00000000" w14:paraId="000000A3">
      <w:pPr>
        <w:ind w:firstLine="720"/>
        <w:rPr/>
      </w:pPr>
      <w:r w:rsidDel="00000000" w:rsidR="00000000" w:rsidRPr="00000000">
        <w:rPr>
          <w:rtl w:val="0"/>
        </w:rPr>
        <w:t xml:space="preserve">The next step is to find primary information about the case, from the documents actually filed in the case.  For lawsuits filed </w:t>
      </w:r>
      <w:r w:rsidDel="00000000" w:rsidR="00000000" w:rsidRPr="00000000">
        <w:rPr>
          <w:b w:val="1"/>
          <w:bCs w:val="1"/>
          <w:rtl w:val="0"/>
        </w:rPr>
        <w:t xml:space="preserve">in a U.S. federal court</w:t>
      </w:r>
      <w:r w:rsidDel="00000000" w:rsidR="00000000" w:rsidRPr="00000000">
        <w:rPr>
          <w:rtl w:val="0"/>
        </w:rPr>
        <w:t xml:space="preserve">, your first stop should be the </w:t>
      </w:r>
      <w:hyperlink r:id="rId31">
        <w:r w:rsidDel="00000000" w:rsidR="00000000" w:rsidRPr="00000000">
          <w:rPr>
            <w:color w:val="1155cc"/>
            <w:u w:val="single"/>
            <w:rtl w:val="0"/>
          </w:rPr>
          <w:t xml:space="preserve">Advanced RECAP Search</w:t>
        </w:r>
      </w:hyperlink>
      <w:r w:rsidDel="00000000" w:rsidR="00000000" w:rsidRPr="00000000">
        <w:rPr>
          <w:rtl w:val="0"/>
        </w:rPr>
        <w:t xml:space="preserve"> on CourtListener.  As you may know, the federal court system itself  The docket is the first place to look for updates to cases; motions and other filings will be included there. </w:t>
      </w:r>
      <w:hyperlink r:id="rId32">
        <w:r w:rsidDel="00000000" w:rsidR="00000000" w:rsidRPr="00000000">
          <w:rPr>
            <w:color w:val="1155cc"/>
            <w:u w:val="single"/>
            <w:rtl w:val="0"/>
          </w:rPr>
          <w:t xml:space="preserve">PACER</w:t>
        </w:r>
      </w:hyperlink>
      <w:r w:rsidDel="00000000" w:rsidR="00000000" w:rsidRPr="00000000">
        <w:rPr>
          <w:rtl w:val="0"/>
        </w:rPr>
        <w:t xml:space="preserve"> cannot be easily searched and documents are not available for free, but the docket for cases on </w:t>
      </w:r>
      <w:hyperlink r:id="rId33">
        <w:r w:rsidDel="00000000" w:rsidR="00000000" w:rsidRPr="00000000">
          <w:rPr>
            <w:color w:val="1155cc"/>
            <w:u w:val="single"/>
            <w:rtl w:val="0"/>
          </w:rPr>
          <w:t xml:space="preserve">CourtListener</w:t>
        </w:r>
      </w:hyperlink>
      <w:r w:rsidDel="00000000" w:rsidR="00000000" w:rsidRPr="00000000">
        <w:rPr>
          <w:rtl w:val="0"/>
        </w:rPr>
        <w:t xml:space="preserve"> lists developments. State courts will list developments in their own court information management systems. </w:t>
      </w:r>
    </w:p>
    <w:p w:rsidR="00000000" w:rsidDel="00000000" w:rsidP="00000000" w:rsidRDefault="00000000" w:rsidRPr="00000000" w14:paraId="000000A4">
      <w:pPr>
        <w:ind w:firstLine="720"/>
        <w:rPr/>
      </w:pPr>
      <w:r w:rsidDel="00000000" w:rsidR="00000000" w:rsidRPr="00000000">
        <w:rPr>
          <w:rtl w:val="0"/>
        </w:rPr>
      </w:r>
    </w:p>
    <w:p w:rsidR="00000000" w:rsidDel="00000000" w:rsidP="00000000" w:rsidRDefault="00000000" w:rsidRPr="00000000" w14:paraId="000000A5">
      <w:pPr>
        <w:ind w:firstLine="720"/>
        <w:rPr/>
      </w:pPr>
      <w:r w:rsidDel="00000000" w:rsidR="00000000" w:rsidRPr="00000000">
        <w:rPr>
          <w:rtl w:val="0"/>
        </w:rPr>
        <w:t xml:space="preserve">While all cases should be regularly updated, a noteworthy update to a case may also be published by one of the aforementioned sources for finding cases before it comes to the attention of researchers during monthly updates. Since these updates are newsworthy, the developments are likely significant and the relevant cases should be updated promptly (i.e., sooner than they otherwise might be updated based on the regular update schedule).</w:t>
      </w:r>
    </w:p>
    <w:p w:rsidR="00000000" w:rsidDel="00000000" w:rsidP="00000000" w:rsidRDefault="00000000" w:rsidRPr="00000000" w14:paraId="000000A6">
      <w:pPr>
        <w:rPr/>
      </w:pPr>
      <w:r w:rsidDel="00000000" w:rsidR="00000000" w:rsidRPr="00000000">
        <w:rPr>
          <w:rtl w:val="0"/>
        </w:rPr>
      </w:r>
    </w:p>
    <w:sectPr>
      <w:foot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heverge.com/" TargetMode="External"/><Relationship Id="rId22" Type="http://schemas.openxmlformats.org/officeDocument/2006/relationships/hyperlink" Target="https://techcrunch.com/" TargetMode="External"/><Relationship Id="rId21" Type="http://schemas.openxmlformats.org/officeDocument/2006/relationships/hyperlink" Target="https://www.techtimes.com/" TargetMode="External"/><Relationship Id="rId24" Type="http://schemas.openxmlformats.org/officeDocument/2006/relationships/hyperlink" Target="https://www.law360.com/" TargetMode="External"/><Relationship Id="rId23" Type="http://schemas.openxmlformats.org/officeDocument/2006/relationships/hyperlink" Target="https://www.thomsonreuters.com/en-us/help/westlaw-classic/searching/create-alert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chpolicy.press/" TargetMode="External"/><Relationship Id="rId26" Type="http://schemas.openxmlformats.org/officeDocument/2006/relationships/hyperlink" Target="https://www.aiaaic.org/aiaaic-repository" TargetMode="External"/><Relationship Id="rId25" Type="http://schemas.openxmlformats.org/officeDocument/2006/relationships/hyperlink" Target="https://epic.org" TargetMode="External"/><Relationship Id="rId28" Type="http://schemas.openxmlformats.org/officeDocument/2006/relationships/hyperlink" Target="https://www.bakerlaw.com/services/artificial-intelligence-ai/case-tracker-artificial-intelligence-copyrights-and-class-actions/" TargetMode="External"/><Relationship Id="rId27" Type="http://schemas.openxmlformats.org/officeDocument/2006/relationships/hyperlink" Target="https://incidentdatabase.ai/" TargetMode="External"/><Relationship Id="rId5" Type="http://schemas.openxmlformats.org/officeDocument/2006/relationships/styles" Target="styles.xml"/><Relationship Id="rId6" Type="http://schemas.openxmlformats.org/officeDocument/2006/relationships/hyperlink" Target="https://blogs.gwu.edu/law-eti/importing-data-for-relational-db/" TargetMode="External"/><Relationship Id="rId29" Type="http://schemas.openxmlformats.org/officeDocument/2006/relationships/hyperlink" Target="https://www.mckoolsmith.com/newsroom-ailitigation" TargetMode="External"/><Relationship Id="rId7" Type="http://schemas.openxmlformats.org/officeDocument/2006/relationships/hyperlink" Target="https://www.courtlistener.com/" TargetMode="External"/><Relationship Id="rId8" Type="http://schemas.openxmlformats.org/officeDocument/2006/relationships/hyperlink" Target="https://pacer.uscourts.gov/" TargetMode="External"/><Relationship Id="rId31" Type="http://schemas.openxmlformats.org/officeDocument/2006/relationships/hyperlink" Target="https://www.courtlistener.com/recap/" TargetMode="External"/><Relationship Id="rId30" Type="http://schemas.openxmlformats.org/officeDocument/2006/relationships/hyperlink" Target="https://www.mishcon.com/generative-ai-intellectual-property-cases-and-policy-tracker" TargetMode="External"/><Relationship Id="rId11" Type="http://schemas.openxmlformats.org/officeDocument/2006/relationships/hyperlink" Target="https://www.techpolicy.press/tracker/" TargetMode="External"/><Relationship Id="rId33" Type="http://schemas.openxmlformats.org/officeDocument/2006/relationships/hyperlink" Target="https://www.courtlistener.com/" TargetMode="External"/><Relationship Id="rId10" Type="http://schemas.openxmlformats.org/officeDocument/2006/relationships/hyperlink" Target="https://www.techpolicy.press/november-2025-tech-litigation-roundup/" TargetMode="External"/><Relationship Id="rId32" Type="http://schemas.openxmlformats.org/officeDocument/2006/relationships/hyperlink" Target="https://pacer.uscourts.gov/" TargetMode="External"/><Relationship Id="rId13" Type="http://schemas.openxmlformats.org/officeDocument/2006/relationships/hyperlink" Target="https://tech-litigation.com/" TargetMode="External"/><Relationship Id="rId12" Type="http://schemas.openxmlformats.org/officeDocument/2006/relationships/hyperlink" Target="https://www.bloomberglaw.com/home" TargetMode="External"/><Relationship Id="rId34" Type="http://schemas.openxmlformats.org/officeDocument/2006/relationships/footer" Target="footer1.xml"/><Relationship Id="rId15" Type="http://schemas.openxmlformats.org/officeDocument/2006/relationships/hyperlink" Target="https://www.reuters.com/technology/artificial-intelligence/" TargetMode="External"/><Relationship Id="rId14" Type="http://schemas.openxmlformats.org/officeDocument/2006/relationships/hyperlink" Target="https://www.ailawandpolicy.com/" TargetMode="External"/><Relationship Id="rId17" Type="http://schemas.openxmlformats.org/officeDocument/2006/relationships/hyperlink" Target="https://www.nytimes.com/spotlight/artificial-intelligence" TargetMode="External"/><Relationship Id="rId16" Type="http://schemas.openxmlformats.org/officeDocument/2006/relationships/hyperlink" Target="https://natlawreview.com/nlr-legal-analysis-and-news-database-search?qnlr=ai#gsc.tab=0&amp;gsc.q=ai&amp;gsc.sort=date" TargetMode="External"/><Relationship Id="rId19" Type="http://schemas.openxmlformats.org/officeDocument/2006/relationships/hyperlink" Target="https://www.ft.com/artificial-intelligence" TargetMode="External"/><Relationship Id="rId18" Type="http://schemas.openxmlformats.org/officeDocument/2006/relationships/hyperlink" Target="https://www.wsj.com/tech/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