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00"/>
        <w:jc w:val="center"/>
      </w:pPr>
      <w:r>
        <w:rPr>
          <w:rFonts w:ascii="Montserrat" w:cs="Montserrat" w:eastAsia="Montserrat" w:hAnsi="Montserrat"/>
          <w:b/>
          <w:bCs/>
          <w:color w:val="1A1A2E"/>
          <w:sz w:val="40"/>
          <w:szCs w:val="40"/>
        </w:rPr>
        <w:t xml:space="preserve">PROJECT REPORT</w:t>
      </w:r>
    </w:p>
    <w:p>
      <w:pPr>
        <w:pBdr>
          <w:top w:val="single" w:color="444444" w:sz="8" w:space="6"/>
          <w:bottom w:val="single" w:color="444444" w:sz="8" w:space="6"/>
        </w:pBdr>
        <w:spacing w:before="0" w:after="120"/>
        <w:jc w:val="center"/>
      </w:pPr>
      <w:r>
        <w:rPr>
          <w:rFonts w:ascii="Montserrat" w:cs="Montserrat" w:eastAsia="Montserrat" w:hAnsi="Montserrat"/>
          <w:b/>
          <w:bCs/>
          <w:color w:val="333333"/>
          <w:sz w:val="30"/>
          <w:szCs w:val="30"/>
        </w:rPr>
        <w:t xml:space="preserve">CSE0001 – Digital Literacy</w:t>
      </w:r>
    </w:p>
    <w:p>
      <w:r>
        <w:t xml:space="preserve"/>
      </w:r>
    </w:p>
    <w:p>
      <w:r>
        <w:t xml:space="preserve"/>
      </w:r>
    </w:p>
    <w:p>
      <w:pPr>
        <w:spacing w:before="0" w:after="100"/>
        <w:jc w:val="center"/>
      </w:pPr>
      <w:r>
        <w:rPr>
          <w:rFonts w:ascii="Calibri" w:cs="Calibri" w:eastAsia="Calibri" w:hAnsi="Calibri"/>
          <w:i/>
          <w:iCs/>
          <w:color w:val="555555"/>
          <w:sz w:val="24"/>
          <w:szCs w:val="24"/>
        </w:rPr>
        <w:t xml:space="preserve">Submitted By</w:t>
      </w:r>
    </w:p>
    <w:p>
      <w:pPr>
        <w:spacing w:before="0" w:after="60"/>
        <w:jc w:val="center"/>
      </w:pPr>
      <w:r>
        <w:rPr>
          <w:rFonts w:ascii="Montserrat" w:cs="Montserrat" w:eastAsia="Montserrat" w:hAnsi="Montserrat"/>
          <w:b/>
          <w:bCs/>
          <w:color w:val="1A1A2E"/>
          <w:sz w:val="28"/>
          <w:szCs w:val="28"/>
        </w:rPr>
        <w:t xml:space="preserve">Dhyaan Dharmesh Kanoja</w:t>
      </w:r>
    </w:p>
    <w:p>
      <w:pPr>
        <w:spacing w:before="0" w:after="60"/>
        <w:jc w:val="center"/>
      </w:pPr>
      <w:r>
        <w:rPr>
          <w:rFonts w:ascii="Calibri" w:cs="Calibri" w:eastAsia="Calibri" w:hAnsi="Calibri"/>
          <w:sz w:val="24"/>
          <w:szCs w:val="24"/>
        </w:rPr>
        <w:t xml:space="preserve">Registration Number: 25BCY10016</w:t>
      </w:r>
    </w:p>
    <w:p>
      <w:pPr>
        <w:spacing w:before="0" w:after="60"/>
        <w:jc w:val="center"/>
      </w:pPr>
      <w:r>
        <w:rPr>
          <w:rFonts w:ascii="Calibri" w:cs="Calibri" w:eastAsia="Calibri" w:hAnsi="Calibri"/>
          <w:sz w:val="24"/>
          <w:szCs w:val="24"/>
        </w:rPr>
        <w:t xml:space="preserve">Branch: Computer Science and Engineering</w:t>
      </w:r>
    </w:p>
    <w:p>
      <w:pPr>
        <w:spacing w:before="0" w:after="60"/>
        <w:jc w:val="center"/>
      </w:pPr>
      <w:r>
        <w:rPr>
          <w:rFonts w:ascii="Calibri" w:cs="Calibri" w:eastAsia="Calibri" w:hAnsi="Calibri"/>
          <w:i/>
          <w:iCs/>
          <w:sz w:val="24"/>
          <w:szCs w:val="24"/>
        </w:rPr>
        <w:t xml:space="preserve">(Cyber Security and Digital Forensics)</w:t>
      </w:r>
    </w:p>
    <w:p>
      <w:r>
        <w:t xml:space="preserve"/>
      </w:r>
    </w:p>
    <w:p>
      <w:r>
        <w:t xml:space="preserve"/>
      </w:r>
    </w:p>
    <w:p>
      <w:pPr>
        <w:spacing w:before="0" w:after="60"/>
        <w:jc w:val="center"/>
      </w:pPr>
      <w:r>
        <w:rPr>
          <w:rFonts w:ascii="Montserrat" w:cs="Montserrat" w:eastAsia="Montserrat" w:hAnsi="Montserrat"/>
          <w:b/>
          <w:bCs/>
          <w:color w:val="1A1A2E"/>
          <w:sz w:val="26"/>
          <w:szCs w:val="26"/>
        </w:rPr>
        <w:t xml:space="preserve">VIT Bhopal University</w:t>
      </w:r>
    </w:p>
    <w:p>
      <w:pPr>
        <w:spacing w:before="0" w:after="60"/>
        <w:jc w:val="center"/>
      </w:pPr>
      <w:r>
        <w:rPr>
          <w:rFonts w:ascii="Calibri" w:cs="Calibri" w:eastAsia="Calibri" w:hAnsi="Calibri"/>
          <w:sz w:val="24"/>
          <w:szCs w:val="24"/>
        </w:rPr>
        <w:t xml:space="preserve">Academic Year: 2024–2025</w:t>
      </w:r>
    </w:p>
    <w:p>
      <w:pPr>
        <w:spacing w:before="0" w:after="60"/>
        <w:jc w:val="center"/>
      </w:pPr>
      <w:r>
        <w:rPr>
          <w:rFonts w:ascii="Calibri" w:cs="Calibri" w:eastAsia="Calibri" w:hAnsi="Calibri"/>
          <w:sz w:val="24"/>
          <w:szCs w:val="24"/>
        </w:rPr>
        <w:t xml:space="preserve">First Year – B.Tech (CSE)</w:t>
      </w:r>
    </w:p>
    <w:p>
      <w:r>
        <w:br w:type="page"/>
      </w:r>
    </w:p>
    <w:p>
      <w:pPr>
        <w:spacing w:before="360" w:after="120"/>
        <w:jc w:val="center"/>
      </w:pPr>
      <w:r>
        <w:rPr>
          <w:rFonts w:ascii="Montserrat" w:cs="Montserrat" w:eastAsia="Montserrat" w:hAnsi="Montserrat"/>
          <w:b/>
          <w:bCs/>
          <w:color w:val="1A1A2E"/>
          <w:sz w:val="32"/>
          <w:szCs w:val="32"/>
        </w:rPr>
        <w:t xml:space="preserve">1. Introduction</w:t>
      </w:r>
    </w:p>
    <w:p>
      <w:pPr>
        <w:pBdr>
          <w:bottom w:val="single" w:color="AAAAAA" w:sz="6" w:space="1"/>
        </w:pBdr>
        <w:spacing w:before="200" w:after="200"/>
      </w:pPr>
    </w:p>
    <w:p>
      <w:pPr>
        <w:spacing w:line="360" w:before="60" w:after="60"/>
        <w:jc w:val="both"/>
      </w:pPr>
      <w:r>
        <w:rPr>
          <w:rFonts w:ascii="Calibri" w:cs="Calibri" w:eastAsia="Calibri" w:hAnsi="Calibri"/>
          <w:b w:val="false"/>
          <w:bCs w:val="false"/>
          <w:i w:val="false"/>
          <w:iCs w:val="false"/>
          <w:sz w:val="24"/>
          <w:szCs w:val="24"/>
        </w:rPr>
        <w:t xml:space="preserve">In today's technology-driven world, digital literacy has become one of the most essential skills for students, professionals, and individuals alike. Digital literacy refers to the ability to effectively and responsibly use digital tools, platforms, and technologies for communication, learning, and problem-solving. It is no longer limited to simply knowing how to operate a computer — it now encompasses a wide range of competencies, including online communication, cybersecurity awareness, digital collaboration, and building a professional online presence.</w:t>
      </w:r>
    </w:p>
    <w:p>
      <w:r>
        <w:t xml:space="preserve"/>
      </w:r>
    </w:p>
    <w:p>
      <w:pPr>
        <w:spacing w:line="360" w:before="60" w:after="60"/>
        <w:jc w:val="both"/>
      </w:pPr>
      <w:r>
        <w:rPr>
          <w:rFonts w:ascii="Calibri" w:cs="Calibri" w:eastAsia="Calibri" w:hAnsi="Calibri"/>
          <w:b w:val="false"/>
          <w:bCs w:val="false"/>
          <w:i w:val="false"/>
          <w:iCs w:val="false"/>
          <w:sz w:val="24"/>
          <w:szCs w:val="24"/>
        </w:rPr>
        <w:t xml:space="preserve">For engineering students, especially those pursuing specializations like Cyber Security and Digital Forensics, developing strong digital literacy skills is absolutely vital. The course CSE0001 – Digital Literacy at VIT Bhopal University has been designed with this objective in mind. Through a series of practical tasks, students are equipped with real-world digital skills that go beyond textbook knowledge.</w:t>
      </w:r>
    </w:p>
    <w:p>
      <w:r>
        <w:t xml:space="preserve"/>
      </w:r>
    </w:p>
    <w:p>
      <w:pPr>
        <w:spacing w:line="360" w:before="60" w:after="60"/>
        <w:jc w:val="both"/>
      </w:pPr>
      <w:r>
        <w:rPr>
          <w:rFonts w:ascii="Calibri" w:cs="Calibri" w:eastAsia="Calibri" w:hAnsi="Calibri"/>
          <w:b w:val="false"/>
          <w:bCs w:val="false"/>
          <w:i w:val="false"/>
          <w:iCs w:val="false"/>
          <w:sz w:val="24"/>
          <w:szCs w:val="24"/>
        </w:rPr>
        <w:t xml:space="preserve">This report documents the five key tasks completed as part of the course. These tasks cover areas such as creating infographics, building digital portfolios, using coding platforms, writing professional emails, and understanding cybercrime. Each task has contributed to developing a more complete and capable digital mindset, which will serve as a strong foundation throughout my academic and professional career.</w:t>
      </w:r>
    </w:p>
    <w:p>
      <w:r>
        <w:br w:type="page"/>
      </w:r>
    </w:p>
    <w:p>
      <w:pPr>
        <w:spacing w:before="360" w:after="120"/>
        <w:jc w:val="center"/>
      </w:pPr>
      <w:r>
        <w:rPr>
          <w:rFonts w:ascii="Montserrat" w:cs="Montserrat" w:eastAsia="Montserrat" w:hAnsi="Montserrat"/>
          <w:b/>
          <w:bCs/>
          <w:color w:val="1A1A2E"/>
          <w:sz w:val="32"/>
          <w:szCs w:val="32"/>
        </w:rPr>
        <w:t xml:space="preserve">Task 1 – Digital Literacy Infographic</w:t>
      </w:r>
    </w:p>
    <w:p>
      <w:pPr>
        <w:pBdr>
          <w:bottom w:val="single" w:color="AAAAAA" w:sz="6" w:space="1"/>
        </w:pBdr>
        <w:spacing w:before="200" w:after="200"/>
      </w:pPr>
    </w:p>
    <w:p>
      <w:pPr>
        <w:spacing w:line="360" w:before="60" w:after="60"/>
        <w:jc w:val="both"/>
      </w:pPr>
      <w:r>
        <w:rPr>
          <w:rFonts w:ascii="Calibri" w:cs="Calibri" w:eastAsia="Calibri" w:hAnsi="Calibri"/>
          <w:b w:val="false"/>
          <w:bCs w:val="false"/>
          <w:i w:val="false"/>
          <w:iCs w:val="false"/>
          <w:sz w:val="24"/>
          <w:szCs w:val="24"/>
        </w:rPr>
        <w:t xml:space="preserve">The first task of this course involved designing an informative infographic on the topic of Digital Literacy. An infographic is a visual representation of information or knowledge, designed to present complex topics in a simple, clear, and engaging manner. For this task, Canva — a popular and beginner-friendly graphic design platform — was used to create the infographic.</w:t>
      </w:r>
    </w:p>
    <w:p>
      <w:r>
        <w:t xml:space="preserve"/>
      </w:r>
    </w:p>
    <w:p>
      <w:pPr>
        <w:spacing w:line="360" w:before="60" w:after="60"/>
        <w:jc w:val="both"/>
      </w:pPr>
      <w:r>
        <w:rPr>
          <w:rFonts w:ascii="Calibri" w:cs="Calibri" w:eastAsia="Calibri" w:hAnsi="Calibri"/>
          <w:b w:val="false"/>
          <w:bCs w:val="false"/>
          <w:i w:val="false"/>
          <w:iCs w:val="false"/>
          <w:sz w:val="24"/>
          <w:szCs w:val="24"/>
        </w:rPr>
        <w:t xml:space="preserve">The infographic covered several important sub-topics related to digital literacy, including internet safety, responsible social media usage, understanding digital footprints, and the basics of cybersecurity. Special attention was given to making the design visually appealing while keeping the information accurate and easy to understand.</w:t>
      </w:r>
    </w:p>
    <w:p>
      <w:r>
        <w:t xml:space="preserve"/>
      </w:r>
    </w:p>
    <w:p>
      <w:pPr>
        <w:spacing w:line="360" w:before="60" w:after="60"/>
        <w:jc w:val="both"/>
      </w:pPr>
      <w:r>
        <w:rPr>
          <w:rFonts w:ascii="Calibri" w:cs="Calibri" w:eastAsia="Calibri" w:hAnsi="Calibri"/>
          <w:b w:val="false"/>
          <w:bCs w:val="false"/>
          <w:i w:val="false"/>
          <w:iCs w:val="false"/>
          <w:sz w:val="24"/>
          <w:szCs w:val="24"/>
        </w:rPr>
        <w:t xml:space="preserve">Working on this task provided hands-on experience with digital design tools and helped in understanding how information can be communicated effectively through visuals. Canva's drag-and-drop interface made the design process straightforward, even without any prior graphic design experience. The task also reinforced the importance of visual communication in the digital age, and how well-presented content can increase both engagement and understanding. Overall, this was a valuable and creative learning experience that helped develop both technical and communication skills.</w:t>
      </w:r>
    </w:p>
    <w:p>
      <w:r>
        <w:br w:type="page"/>
      </w:r>
    </w:p>
    <w:p>
      <w:pPr>
        <w:spacing w:before="360" w:after="120"/>
        <w:jc w:val="center"/>
      </w:pPr>
      <w:r>
        <w:rPr>
          <w:rFonts w:ascii="Montserrat" w:cs="Montserrat" w:eastAsia="Montserrat" w:hAnsi="Montserrat"/>
          <w:b/>
          <w:bCs/>
          <w:color w:val="1A1A2E"/>
          <w:sz w:val="32"/>
          <w:szCs w:val="32"/>
        </w:rPr>
        <w:t xml:space="preserve">Task 2 – Student Digital Portfolio</w:t>
      </w:r>
    </w:p>
    <w:p>
      <w:pPr>
        <w:pBdr>
          <w:bottom w:val="single" w:color="AAAAAA" w:sz="6" w:space="1"/>
        </w:pBdr>
        <w:spacing w:before="200" w:after="200"/>
      </w:pPr>
    </w:p>
    <w:p>
      <w:pPr>
        <w:spacing w:line="360" w:before="60" w:after="60"/>
        <w:jc w:val="both"/>
      </w:pPr>
      <w:r>
        <w:rPr>
          <w:rFonts w:ascii="Calibri" w:cs="Calibri" w:eastAsia="Calibri" w:hAnsi="Calibri"/>
          <w:b w:val="false"/>
          <w:bCs w:val="false"/>
          <w:i w:val="false"/>
          <w:iCs w:val="false"/>
          <w:sz w:val="24"/>
          <w:szCs w:val="24"/>
        </w:rPr>
        <w:t xml:space="preserve">Task 2 focused on creating and setting up a professional digital portfolio by registering and building profiles on three major platforms: LinkedIn, GitHub, and Kaggle. Each of these platforms serves a distinct and important purpose in the professional and academic world.</w:t>
      </w:r>
    </w:p>
    <w:p>
      <w:r>
        <w:t xml:space="preserve"/>
      </w:r>
    </w:p>
    <w:p>
      <w:pPr>
        <w:spacing w:before="300" w:after="100"/>
      </w:pPr>
      <w:r>
        <w:rPr>
          <w:rFonts w:ascii="Montserrat" w:cs="Montserrat" w:eastAsia="Montserrat" w:hAnsi="Montserrat"/>
          <w:b/>
          <w:bCs/>
          <w:color w:val="1A1A2E"/>
          <w:sz w:val="28"/>
          <w:szCs w:val="28"/>
        </w:rPr>
        <w:t xml:space="preserve">Platforms Created:</w:t>
      </w:r>
    </w:p>
    <w:p>
      <w:pPr>
        <w:pStyle w:val="ListParagraph"/>
        <w:numPr>
          <w:ilvl w:val="0"/>
          <w:numId w:val="2"/>
        </w:numPr>
        <w:spacing w:line="360" w:before="40" w:after="40"/>
        <w:jc w:val="both"/>
      </w:pPr>
      <w:r>
        <w:rPr>
          <w:rFonts w:ascii="Calibri" w:cs="Calibri" w:eastAsia="Calibri" w:hAnsi="Calibri"/>
          <w:sz w:val="24"/>
          <w:szCs w:val="24"/>
        </w:rPr>
        <w:t xml:space="preserve">LinkedIn – A professional networking platform used to showcase academic achievements, skills, internships, and connect with industry professionals.</w:t>
      </w:r>
    </w:p>
    <w:p>
      <w:pPr>
        <w:pStyle w:val="ListParagraph"/>
        <w:numPr>
          <w:ilvl w:val="0"/>
          <w:numId w:val="2"/>
        </w:numPr>
        <w:spacing w:line="360" w:before="40" w:after="40"/>
        <w:jc w:val="both"/>
      </w:pPr>
      <w:r>
        <w:rPr>
          <w:rFonts w:ascii="Calibri" w:cs="Calibri" w:eastAsia="Calibri" w:hAnsi="Calibri"/>
          <w:sz w:val="24"/>
          <w:szCs w:val="24"/>
        </w:rPr>
        <w:t xml:space="preserve">GitHub – A code-hosting platform for version control and collaboration, widely used by developers to share projects and contribute to open-source repositories.</w:t>
      </w:r>
    </w:p>
    <w:p>
      <w:pPr>
        <w:pStyle w:val="ListParagraph"/>
        <w:numPr>
          <w:ilvl w:val="0"/>
          <w:numId w:val="2"/>
        </w:numPr>
        <w:spacing w:line="360" w:before="40" w:after="40"/>
        <w:jc w:val="both"/>
      </w:pPr>
      <w:r>
        <w:rPr>
          <w:rFonts w:ascii="Calibri" w:cs="Calibri" w:eastAsia="Calibri" w:hAnsi="Calibri"/>
          <w:sz w:val="24"/>
          <w:szCs w:val="24"/>
        </w:rPr>
        <w:t xml:space="preserve">Kaggle – A data science and machine learning platform where users can participate in competitions, share datasets, and build analytical projects.</w:t>
      </w:r>
    </w:p>
    <w:p>
      <w:r>
        <w:t xml:space="preserve"/>
      </w:r>
    </w:p>
    <w:p>
      <w:pPr>
        <w:spacing w:line="360" w:before="60" w:after="60"/>
        <w:jc w:val="both"/>
      </w:pPr>
      <w:r>
        <w:rPr>
          <w:rFonts w:ascii="Calibri" w:cs="Calibri" w:eastAsia="Calibri" w:hAnsi="Calibri"/>
          <w:b w:val="false"/>
          <w:bCs w:val="false"/>
          <w:i w:val="false"/>
          <w:iCs w:val="false"/>
          <w:sz w:val="24"/>
          <w:szCs w:val="24"/>
        </w:rPr>
        <w:t xml:space="preserve">Having a digital portfolio is crucial in today's competitive academic and job market. It acts as an online resume that is available 24/7 to potential employers, professors, and collaborators. This task helped in understanding the value of maintaining a strong and consistent online presence. Setting up these profiles also encouraged self-reflection on personal skills, interests, and academic goals. Going forward, these platforms will serve as important tools for career development, skill showcasing, and professional networking throughout the B.Tech journey and beyond.</w:t>
      </w:r>
    </w:p>
    <w:p>
      <w:r>
        <w:br w:type="page"/>
      </w:r>
    </w:p>
    <w:p>
      <w:pPr>
        <w:spacing w:before="360" w:after="120"/>
        <w:jc w:val="center"/>
      </w:pPr>
      <w:r>
        <w:rPr>
          <w:rFonts w:ascii="Montserrat" w:cs="Montserrat" w:eastAsia="Montserrat" w:hAnsi="Montserrat"/>
          <w:b/>
          <w:bCs/>
          <w:color w:val="1A1A2E"/>
          <w:sz w:val="32"/>
          <w:szCs w:val="32"/>
        </w:rPr>
        <w:t xml:space="preserve">Task 3 – Coding and Collaboration Platforms</w:t>
      </w:r>
    </w:p>
    <w:p>
      <w:pPr>
        <w:pBdr>
          <w:bottom w:val="single" w:color="AAAAAA" w:sz="6" w:space="1"/>
        </w:pBdr>
        <w:spacing w:before="200" w:after="200"/>
      </w:pPr>
    </w:p>
    <w:p>
      <w:pPr>
        <w:spacing w:line="360" w:before="60" w:after="60"/>
        <w:jc w:val="both"/>
      </w:pPr>
      <w:r>
        <w:rPr>
          <w:rFonts w:ascii="Calibri" w:cs="Calibri" w:eastAsia="Calibri" w:hAnsi="Calibri"/>
          <w:b w:val="false"/>
          <w:bCs w:val="false"/>
          <w:i w:val="false"/>
          <w:iCs w:val="false"/>
          <w:sz w:val="24"/>
          <w:szCs w:val="24"/>
        </w:rPr>
        <w:t xml:space="preserve">Task 3 introduced students to two major digital tools: HackerRank, a competitive coding and skills assessment platform, and Google Forms, a tool for creating online quizzes and surveys. This task emphasized the importance of using technology for both skill development and effective collaboration.</w:t>
      </w:r>
    </w:p>
    <w:p>
      <w:r>
        <w:t xml:space="preserve"/>
      </w:r>
    </w:p>
    <w:p>
      <w:pPr>
        <w:spacing w:before="300" w:after="100"/>
      </w:pPr>
      <w:r>
        <w:rPr>
          <w:rFonts w:ascii="Montserrat" w:cs="Montserrat" w:eastAsia="Montserrat" w:hAnsi="Montserrat"/>
          <w:b/>
          <w:bCs/>
          <w:color w:val="1A1A2E"/>
          <w:sz w:val="28"/>
          <w:szCs w:val="28"/>
        </w:rPr>
        <w:t xml:space="preserve">HackerRank Challenge:</w:t>
      </w:r>
    </w:p>
    <w:p>
      <w:pPr>
        <w:spacing w:line="360" w:before="60" w:after="60"/>
        <w:jc w:val="both"/>
      </w:pPr>
      <w:r>
        <w:rPr>
          <w:rFonts w:ascii="Calibri" w:cs="Calibri" w:eastAsia="Calibri" w:hAnsi="Calibri"/>
          <w:b w:val="false"/>
          <w:bCs w:val="false"/>
          <w:i w:val="false"/>
          <w:iCs w:val="false"/>
          <w:sz w:val="24"/>
          <w:szCs w:val="24"/>
        </w:rPr>
        <w:t xml:space="preserve">A coding challenge was completed on HackerRank, which involved solving programming problems to test logical thinking and problem-solving abilities. HackerRank is widely used by companies and educational institutions to evaluate coding skills. Participating in the challenge helped in understanding the structure of competitive programming and the importance of writing clean, efficient code under time constraints.</w:t>
      </w:r>
    </w:p>
    <w:p>
      <w:r>
        <w:t xml:space="preserve"/>
      </w:r>
    </w:p>
    <w:p>
      <w:pPr>
        <w:spacing w:before="300" w:after="100"/>
      </w:pPr>
      <w:r>
        <w:rPr>
          <w:rFonts w:ascii="Montserrat" w:cs="Montserrat" w:eastAsia="Montserrat" w:hAnsi="Montserrat"/>
          <w:b/>
          <w:bCs/>
          <w:color w:val="1A1A2E"/>
          <w:sz w:val="28"/>
          <w:szCs w:val="28"/>
        </w:rPr>
        <w:t xml:space="preserve">Google Form Quiz Creation:</w:t>
      </w:r>
    </w:p>
    <w:p>
      <w:pPr>
        <w:spacing w:line="360" w:before="60" w:after="60"/>
        <w:jc w:val="both"/>
      </w:pPr>
      <w:r>
        <w:rPr>
          <w:rFonts w:ascii="Calibri" w:cs="Calibri" w:eastAsia="Calibri" w:hAnsi="Calibri"/>
          <w:b w:val="false"/>
          <w:bCs w:val="false"/>
          <w:i w:val="false"/>
          <w:iCs w:val="false"/>
          <w:sz w:val="24"/>
          <w:szCs w:val="24"/>
        </w:rPr>
        <w:t xml:space="preserve">A Google Form-based quiz was created on a topic related to digital literacy. This task involved designing well-structured questions, choosing appropriate question types (multiple choice, short answer, etc.), and configuring settings for automatic grading. Creating the quiz provided practical experience in designing digital assessment tools and highlighted how platforms like Google Forms can be used for collaborative learning and evaluation in academic settings.</w:t>
      </w:r>
    </w:p>
    <w:p>
      <w:r>
        <w:br w:type="page"/>
      </w:r>
    </w:p>
    <w:p>
      <w:pPr>
        <w:spacing w:before="360" w:after="120"/>
        <w:jc w:val="center"/>
      </w:pPr>
      <w:r>
        <w:rPr>
          <w:rFonts w:ascii="Montserrat" w:cs="Montserrat" w:eastAsia="Montserrat" w:hAnsi="Montserrat"/>
          <w:b/>
          <w:bCs/>
          <w:color w:val="1A1A2E"/>
          <w:sz w:val="32"/>
          <w:szCs w:val="32"/>
        </w:rPr>
        <w:t xml:space="preserve">Task 4 – Email Etiquette</w:t>
      </w:r>
    </w:p>
    <w:p>
      <w:pPr>
        <w:pBdr>
          <w:bottom w:val="single" w:color="AAAAAA" w:sz="6" w:space="1"/>
        </w:pBdr>
        <w:spacing w:before="200" w:after="200"/>
      </w:pPr>
    </w:p>
    <w:p>
      <w:pPr>
        <w:spacing w:line="360" w:before="60" w:after="60"/>
        <w:jc w:val="both"/>
      </w:pPr>
      <w:r>
        <w:rPr>
          <w:rFonts w:ascii="Calibri" w:cs="Calibri" w:eastAsia="Calibri" w:hAnsi="Calibri"/>
          <w:b w:val="false"/>
          <w:bCs w:val="false"/>
          <w:i w:val="false"/>
          <w:iCs w:val="false"/>
          <w:sz w:val="24"/>
          <w:szCs w:val="24"/>
        </w:rPr>
        <w:t xml:space="preserve">Task 4 focused on one of the most essential professional communication skills: writing effective and appropriate emails, as well as understanding proper social media etiquette. In professional and academic environments, the way one communicates digitally can significantly impact their reputation and relationships.</w:t>
      </w:r>
    </w:p>
    <w:p>
      <w:r>
        <w:t xml:space="preserve"/>
      </w:r>
    </w:p>
    <w:p>
      <w:pPr>
        <w:spacing w:before="300" w:after="100"/>
      </w:pPr>
      <w:r>
        <w:rPr>
          <w:rFonts w:ascii="Montserrat" w:cs="Montserrat" w:eastAsia="Montserrat" w:hAnsi="Montserrat"/>
          <w:b/>
          <w:bCs/>
          <w:color w:val="1A1A2E"/>
          <w:sz w:val="28"/>
          <w:szCs w:val="28"/>
        </w:rPr>
        <w:t xml:space="preserve">Professional Email Writing:</w:t>
      </w:r>
    </w:p>
    <w:p>
      <w:pPr>
        <w:spacing w:line="360" w:before="60" w:after="60"/>
        <w:jc w:val="both"/>
      </w:pPr>
      <w:r>
        <w:rPr>
          <w:rFonts w:ascii="Calibri" w:cs="Calibri" w:eastAsia="Calibri" w:hAnsi="Calibri"/>
          <w:b w:val="false"/>
          <w:bCs w:val="false"/>
          <w:i w:val="false"/>
          <w:iCs w:val="false"/>
          <w:sz w:val="24"/>
          <w:szCs w:val="24"/>
        </w:rPr>
        <w:t xml:space="preserve">A formal email was drafted following all the key principles of professional communication. These included a clear and relevant subject line, a proper greeting, well-structured body content, a polite closing, and correct use of signatures. Attention was also given to tone, grammar, and conciseness — qualities that distinguish a professional email from a casual one. This activity highlighted how even small details in email writing can reflect one's professionalism and competence.</w:t>
      </w:r>
    </w:p>
    <w:p>
      <w:r>
        <w:t xml:space="preserve"/>
      </w:r>
    </w:p>
    <w:p>
      <w:pPr>
        <w:spacing w:before="300" w:after="100"/>
      </w:pPr>
      <w:r>
        <w:rPr>
          <w:rFonts w:ascii="Montserrat" w:cs="Montserrat" w:eastAsia="Montserrat" w:hAnsi="Montserrat"/>
          <w:b/>
          <w:bCs/>
          <w:color w:val="1A1A2E"/>
          <w:sz w:val="28"/>
          <w:szCs w:val="28"/>
        </w:rPr>
        <w:t xml:space="preserve">Social Media Etiquette Checklist:</w:t>
      </w:r>
    </w:p>
    <w:p>
      <w:pPr>
        <w:spacing w:line="360" w:before="60" w:after="60"/>
        <w:jc w:val="both"/>
      </w:pPr>
      <w:r>
        <w:rPr>
          <w:rFonts w:ascii="Calibri" w:cs="Calibri" w:eastAsia="Calibri" w:hAnsi="Calibri"/>
          <w:b w:val="false"/>
          <w:bCs w:val="false"/>
          <w:i w:val="false"/>
          <w:iCs w:val="false"/>
          <w:sz w:val="24"/>
          <w:szCs w:val="24"/>
        </w:rPr>
        <w:t xml:space="preserve">A social media etiquette checklist was also prepared, covering important guidelines such as respecting others' privacy, avoiding sharing of unverified information, using respectful language, being mindful of one's digital footprint, and maintaining appropriate boundaries between personal and professional profiles. This checklist serves as a practical reference for responsible and ethical behavior on social media platforms.</w:t>
      </w:r>
    </w:p>
    <w:p>
      <w:r>
        <w:br w:type="page"/>
      </w:r>
    </w:p>
    <w:p>
      <w:pPr>
        <w:spacing w:before="360" w:after="120"/>
        <w:jc w:val="center"/>
      </w:pPr>
      <w:r>
        <w:rPr>
          <w:rFonts w:ascii="Montserrat" w:cs="Montserrat" w:eastAsia="Montserrat" w:hAnsi="Montserrat"/>
          <w:b/>
          <w:bCs/>
          <w:color w:val="1A1A2E"/>
          <w:sz w:val="32"/>
          <w:szCs w:val="32"/>
        </w:rPr>
        <w:t xml:space="preserve">Task 5 – Cybercrime Awareness</w:t>
      </w:r>
    </w:p>
    <w:p>
      <w:pPr>
        <w:pBdr>
          <w:bottom w:val="single" w:color="AAAAAA" w:sz="6" w:space="1"/>
        </w:pBdr>
        <w:spacing w:before="200" w:after="200"/>
      </w:pPr>
    </w:p>
    <w:p>
      <w:pPr>
        <w:spacing w:line="360" w:before="60" w:after="60"/>
        <w:jc w:val="both"/>
      </w:pPr>
      <w:r>
        <w:rPr>
          <w:rFonts w:ascii="Calibri" w:cs="Calibri" w:eastAsia="Calibri" w:hAnsi="Calibri"/>
          <w:b w:val="false"/>
          <w:bCs w:val="false"/>
          <w:i w:val="false"/>
          <w:iCs w:val="false"/>
          <w:sz w:val="24"/>
          <w:szCs w:val="24"/>
        </w:rPr>
        <w:t xml:space="preserve">Task 5 was one of the most relevant and informative tasks of the course, especially for a student pursuing Cyber Security and Digital Forensics. This task involved studying a real-world phishing case and preparing a cybercrime prevention checklist, with a special focus on UPI (Unified Payments Interface) safety in India.</w:t>
      </w:r>
    </w:p>
    <w:p>
      <w:r>
        <w:t xml:space="preserve"/>
      </w:r>
    </w:p>
    <w:p>
      <w:pPr>
        <w:spacing w:before="300" w:after="100"/>
      </w:pPr>
      <w:r>
        <w:rPr>
          <w:rFonts w:ascii="Montserrat" w:cs="Montserrat" w:eastAsia="Montserrat" w:hAnsi="Montserrat"/>
          <w:b/>
          <w:bCs/>
          <w:color w:val="1A1A2E"/>
          <w:sz w:val="28"/>
          <w:szCs w:val="28"/>
        </w:rPr>
        <w:t xml:space="preserve">Phishing Case Study:</w:t>
      </w:r>
    </w:p>
    <w:p>
      <w:pPr>
        <w:spacing w:line="360" w:before="60" w:after="60"/>
        <w:jc w:val="both"/>
      </w:pPr>
      <w:r>
        <w:rPr>
          <w:rFonts w:ascii="Calibri" w:cs="Calibri" w:eastAsia="Calibri" w:hAnsi="Calibri"/>
          <w:b w:val="false"/>
          <w:bCs w:val="false"/>
          <w:i w:val="false"/>
          <w:iCs w:val="false"/>
          <w:sz w:val="24"/>
          <w:szCs w:val="24"/>
        </w:rPr>
        <w:t xml:space="preserve">A documented phishing attack case was analyzed to understand how cybercriminals deceive users into revealing sensitive information such as passwords, OTPs, and banking credentials. The case study covered the methods used by attackers, how victims were targeted, and what the consequences were. This exercise provided valuable insight into how phishing works in practice and the importance of staying alert while using email, social media, and online banking.</w:t>
      </w:r>
    </w:p>
    <w:p>
      <w:r>
        <w:t xml:space="preserve"/>
      </w:r>
    </w:p>
    <w:p>
      <w:pPr>
        <w:spacing w:before="300" w:after="100"/>
      </w:pPr>
      <w:r>
        <w:rPr>
          <w:rFonts w:ascii="Montserrat" w:cs="Montserrat" w:eastAsia="Montserrat" w:hAnsi="Montserrat"/>
          <w:b/>
          <w:bCs/>
          <w:color w:val="1A1A2E"/>
          <w:sz w:val="28"/>
          <w:szCs w:val="28"/>
        </w:rPr>
        <w:t xml:space="preserve">Cybercrime Prevention Checklist:</w:t>
      </w:r>
    </w:p>
    <w:p>
      <w:pPr>
        <w:spacing w:line="360" w:before="60" w:after="60"/>
        <w:jc w:val="both"/>
      </w:pPr>
      <w:r>
        <w:rPr>
          <w:rFonts w:ascii="Calibri" w:cs="Calibri" w:eastAsia="Calibri" w:hAnsi="Calibri"/>
          <w:b w:val="false"/>
          <w:bCs w:val="false"/>
          <w:i w:val="false"/>
          <w:iCs w:val="false"/>
          <w:sz w:val="24"/>
          <w:szCs w:val="24"/>
        </w:rPr>
        <w:t xml:space="preserve">The following checklist was prepared for everyday digital safety:</w:t>
      </w:r>
    </w:p>
    <w:p>
      <w:pPr>
        <w:pStyle w:val="ListParagraph"/>
        <w:numPr>
          <w:ilvl w:val="0"/>
          <w:numId w:val="2"/>
        </w:numPr>
        <w:spacing w:line="360" w:before="40" w:after="40"/>
        <w:jc w:val="both"/>
      </w:pPr>
      <w:r>
        <w:rPr>
          <w:rFonts w:ascii="Calibri" w:cs="Calibri" w:eastAsia="Calibri" w:hAnsi="Calibri"/>
          <w:sz w:val="24"/>
          <w:szCs w:val="24"/>
        </w:rPr>
        <w:t xml:space="preserve">Never share OTPs, PINs, or passwords with anyone, even if they claim to be from a bank or government agency.</w:t>
      </w:r>
    </w:p>
    <w:p>
      <w:pPr>
        <w:pStyle w:val="ListParagraph"/>
        <w:numPr>
          <w:ilvl w:val="0"/>
          <w:numId w:val="2"/>
        </w:numPr>
        <w:spacing w:line="360" w:before="40" w:after="40"/>
        <w:jc w:val="both"/>
      </w:pPr>
      <w:r>
        <w:rPr>
          <w:rFonts w:ascii="Calibri" w:cs="Calibri" w:eastAsia="Calibri" w:hAnsi="Calibri"/>
          <w:sz w:val="24"/>
          <w:szCs w:val="24"/>
        </w:rPr>
        <w:t xml:space="preserve">Always verify the sender's email address and URL before clicking any link.</w:t>
      </w:r>
    </w:p>
    <w:p>
      <w:pPr>
        <w:pStyle w:val="ListParagraph"/>
        <w:numPr>
          <w:ilvl w:val="0"/>
          <w:numId w:val="2"/>
        </w:numPr>
        <w:spacing w:line="360" w:before="40" w:after="40"/>
        <w:jc w:val="both"/>
      </w:pPr>
      <w:r>
        <w:rPr>
          <w:rFonts w:ascii="Calibri" w:cs="Calibri" w:eastAsia="Calibri" w:hAnsi="Calibri"/>
          <w:sz w:val="24"/>
          <w:szCs w:val="24"/>
        </w:rPr>
        <w:t xml:space="preserve">Use two-factor authentication (2FA) on all important accounts.</w:t>
      </w:r>
    </w:p>
    <w:p>
      <w:pPr>
        <w:pStyle w:val="ListParagraph"/>
        <w:numPr>
          <w:ilvl w:val="0"/>
          <w:numId w:val="2"/>
        </w:numPr>
        <w:spacing w:line="360" w:before="40" w:after="40"/>
        <w:jc w:val="both"/>
      </w:pPr>
      <w:r>
        <w:rPr>
          <w:rFonts w:ascii="Calibri" w:cs="Calibri" w:eastAsia="Calibri" w:hAnsi="Calibri"/>
          <w:sz w:val="24"/>
          <w:szCs w:val="24"/>
        </w:rPr>
        <w:t xml:space="preserve">Avoid using public Wi-Fi for financial transactions.</w:t>
      </w:r>
    </w:p>
    <w:p>
      <w:pPr>
        <w:pStyle w:val="ListParagraph"/>
        <w:numPr>
          <w:ilvl w:val="0"/>
          <w:numId w:val="2"/>
        </w:numPr>
        <w:spacing w:line="360" w:before="40" w:after="40"/>
        <w:jc w:val="both"/>
      </w:pPr>
      <w:r>
        <w:rPr>
          <w:rFonts w:ascii="Calibri" w:cs="Calibri" w:eastAsia="Calibri" w:hAnsi="Calibri"/>
          <w:sz w:val="24"/>
          <w:szCs w:val="24"/>
        </w:rPr>
        <w:t xml:space="preserve">Keep software and apps updated to patch security vulnerabilities.</w:t>
      </w:r>
    </w:p>
    <w:p>
      <w:pPr>
        <w:pStyle w:val="ListParagraph"/>
        <w:numPr>
          <w:ilvl w:val="0"/>
          <w:numId w:val="2"/>
        </w:numPr>
        <w:spacing w:line="360" w:before="40" w:after="40"/>
        <w:jc w:val="both"/>
      </w:pPr>
      <w:r>
        <w:rPr>
          <w:rFonts w:ascii="Calibri" w:cs="Calibri" w:eastAsia="Calibri" w:hAnsi="Calibri"/>
          <w:sz w:val="24"/>
          <w:szCs w:val="24"/>
        </w:rPr>
        <w:t xml:space="preserve">For UPI payments, always double-check the recipient's UPI ID before confirming any transaction.</w:t>
      </w:r>
    </w:p>
    <w:p>
      <w:pPr>
        <w:pStyle w:val="ListParagraph"/>
        <w:numPr>
          <w:ilvl w:val="0"/>
          <w:numId w:val="2"/>
        </w:numPr>
        <w:spacing w:line="360" w:before="40" w:after="40"/>
        <w:jc w:val="both"/>
      </w:pPr>
      <w:r>
        <w:rPr>
          <w:rFonts w:ascii="Calibri" w:cs="Calibri" w:eastAsia="Calibri" w:hAnsi="Calibri"/>
          <w:sz w:val="24"/>
          <w:szCs w:val="24"/>
        </w:rPr>
        <w:t xml:space="preserve">Report suspicious activity immediately to the cyber crime helpline (1930 in India).</w:t>
      </w:r>
    </w:p>
    <w:p>
      <w:r>
        <w:br w:type="page"/>
      </w:r>
    </w:p>
    <w:p>
      <w:pPr>
        <w:spacing w:before="360" w:after="120"/>
        <w:jc w:val="center"/>
      </w:pPr>
      <w:r>
        <w:rPr>
          <w:rFonts w:ascii="Montserrat" w:cs="Montserrat" w:eastAsia="Montserrat" w:hAnsi="Montserrat"/>
          <w:b/>
          <w:bCs/>
          <w:color w:val="1A1A2E"/>
          <w:sz w:val="32"/>
          <w:szCs w:val="32"/>
        </w:rPr>
        <w:t xml:space="preserve">Conclusion</w:t>
      </w:r>
    </w:p>
    <w:p>
      <w:pPr>
        <w:pBdr>
          <w:bottom w:val="single" w:color="AAAAAA" w:sz="6" w:space="1"/>
        </w:pBdr>
        <w:spacing w:before="200" w:after="200"/>
      </w:pPr>
    </w:p>
    <w:p>
      <w:pPr>
        <w:spacing w:line="360" w:before="60" w:after="60"/>
        <w:jc w:val="both"/>
      </w:pPr>
      <w:r>
        <w:rPr>
          <w:rFonts w:ascii="Calibri" w:cs="Calibri" w:eastAsia="Calibri" w:hAnsi="Calibri"/>
          <w:b w:val="false"/>
          <w:bCs w:val="false"/>
          <w:i w:val="false"/>
          <w:iCs w:val="false"/>
          <w:sz w:val="24"/>
          <w:szCs w:val="24"/>
        </w:rPr>
        <w:t xml:space="preserve">This project has been a comprehensive and highly practical learning experience. Through the five tasks covered in this report, a wide range of digital skills have been developed — from visual communication and professional networking, to coding, email writing, and cybersecurity awareness. Each task addressed a different dimension of digital literacy, making the overall course both well-rounded and highly relevant to today's digital environment.</w:t>
      </w:r>
    </w:p>
    <w:p>
      <w:r>
        <w:t xml:space="preserve"/>
      </w:r>
    </w:p>
    <w:p>
      <w:pPr>
        <w:spacing w:line="360" w:before="60" w:after="60"/>
        <w:jc w:val="both"/>
      </w:pPr>
      <w:r>
        <w:rPr>
          <w:rFonts w:ascii="Calibri" w:cs="Calibri" w:eastAsia="Calibri" w:hAnsi="Calibri"/>
          <w:b w:val="false"/>
          <w:bCs w:val="false"/>
          <w:i w:val="false"/>
          <w:iCs w:val="false"/>
          <w:sz w:val="24"/>
          <w:szCs w:val="24"/>
        </w:rPr>
        <w:t xml:space="preserve">As a student of Cyber Security and Digital Forensics, the knowledge gained through this course holds particular importance. Understanding how to protect oneself and others from online threats, maintain a professional digital presence, and communicate effectively in digital spaces are all skills that will remain valuable throughout my academic and professional journey.</w:t>
      </w:r>
    </w:p>
    <w:p>
      <w:r>
        <w:t xml:space="preserve"/>
      </w:r>
    </w:p>
    <w:p>
      <w:pPr>
        <w:spacing w:line="360" w:before="60" w:after="60"/>
        <w:jc w:val="both"/>
      </w:pPr>
      <w:r>
        <w:rPr>
          <w:rFonts w:ascii="Calibri" w:cs="Calibri" w:eastAsia="Calibri" w:hAnsi="Calibri"/>
          <w:b w:val="false"/>
          <w:bCs w:val="false"/>
          <w:i w:val="false"/>
          <w:iCs w:val="false"/>
          <w:sz w:val="24"/>
          <w:szCs w:val="24"/>
        </w:rPr>
        <w:t xml:space="preserve">Digital literacy is no longer an optional add-on — it is a fundamental requirement for navigating the modern world. This course has laid a strong foundation, and the skills, tools, and awareness gained will continue to be applied and built upon in the years ahead. I am grateful for the structured exposure this course has provided and look forward to applying these skills in real-world scenarios.</w:t>
      </w:r>
    </w:p>
    <w:p>
      <w:r>
        <w:t xml:space="preserve"/>
      </w:r>
    </w:p>
    <w:p>
      <w:r>
        <w:t xml:space="preserve"/>
      </w:r>
    </w:p>
    <w:p>
      <w:pPr>
        <w:pBdr>
          <w:bottom w:val="single" w:color="AAAAAA" w:sz="6" w:space="1"/>
        </w:pBdr>
        <w:spacing w:before="200" w:after="200"/>
      </w:pPr>
    </w:p>
    <w:p>
      <w:pPr>
        <w:spacing w:before="100" w:after="60"/>
        <w:jc w:val="center"/>
      </w:pPr>
      <w:r>
        <w:rPr>
          <w:rFonts w:ascii="Calibri" w:cs="Calibri" w:eastAsia="Calibri" w:hAnsi="Calibri"/>
          <w:i/>
          <w:iCs/>
          <w:color w:val="777777"/>
          <w:sz w:val="20"/>
          <w:szCs w:val="20"/>
        </w:rPr>
        <w:t xml:space="preserve">End of Report</w:t>
      </w:r>
    </w:p>
    <w:p>
      <w:pPr>
        <w:jc w:val="center"/>
      </w:pPr>
      <w:r>
        <w:rPr>
          <w:rFonts w:ascii="Calibri" w:cs="Calibri" w:eastAsia="Calibri" w:hAnsi="Calibri"/>
          <w:color w:val="999999"/>
          <w:sz w:val="18"/>
          <w:szCs w:val="18"/>
        </w:rPr>
        <w:t xml:space="preserve">Dhyaan Dharmesh Kanoja  |  25BCY10016  |  VIT Bhopal University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1"/>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jc w:val="center"/>
    </w:pPr>
    <w:r>
      <w:rPr>
        <w:rFonts w:ascii="Calibri" w:cs="Calibri" w:eastAsia="Calibri" w:hAnsi="Calibri"/>
        <w:i/>
        <w:iCs/>
        <w:color w:val="555555"/>
        <w:sz w:val="18"/>
        <w:szCs w:val="18"/>
      </w:rPr>
      <w:t xml:space="preserve">Digital Literacy Project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2026-03-25T23:30:59.380Z</dcterms:created>
  <dcterms:modified xsi:type="dcterms:W3CDTF">2026-03-25T23:30:59.381Z</dcterms:modified>
</cp:coreProperties>
</file>

<file path=docProps/custom.xml><?xml version="1.0" encoding="utf-8"?>
<Properties xmlns="http://schemas.openxmlformats.org/officeDocument/2006/custom-properties" xmlns:vt="http://schemas.openxmlformats.org/officeDocument/2006/docPropsVTypes"/>
</file>