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PhenoPred</w:t>
      </w:r>
    </w:p>
    <w:p>
      <w:pPr>
        <w:spacing w:after="200"/>
        <w:jc w:val="center"/>
      </w:pPr>
      <w:r>
        <w:rPr>
          <w:b/>
          <w:bCs/>
          <w:sz w:val="32"/>
          <w:szCs w:val="32"/>
        </w:rPr>
        <w:t xml:space="preserve">Software Architecture — Version 1</w:t>
      </w:r>
    </w:p>
    <w:p>
      <w:pPr>
        <w:spacing w:after="100"/>
        <w:jc w:val="center"/>
      </w:pPr>
      <w:r>
        <w:rPr>
          <w:sz w:val="24"/>
          <w:szCs w:val="24"/>
        </w:rPr>
        <w:t xml:space="preserve">Raw Genotype Data Ingestion, Structural Validation, and Profiling Module</w:t>
      </w:r>
    </w:p>
    <w:p>
      <w:pPr>
        <w:spacing w:after="100"/>
        <w:jc w:val="center"/>
      </w:pPr>
      <w:r>
        <w:rPr>
          <w:i/>
          <w:iCs/>
          <w:sz w:val="20"/>
          <w:szCs w:val="20"/>
        </w:rPr>
        <w:t xml:space="preserve">Architecture derived from PhenoPred_SRS.docx (v1.0) and 01_dataset_exploration.ipynb</w:t>
      </w:r>
    </w:p>
    <w:p>
      <w:pPr>
        <w:spacing w:after="100"/>
        <w:jc w:val="center"/>
      </w:pPr>
      <w:r>
        <w:rPr>
          <w:sz w:val="20"/>
          <w:szCs w:val="20"/>
        </w:rPr>
        <w:t xml:space="preserve">Prepared as part of a Master's thesis project</w:t>
      </w:r>
    </w:p>
    <w:p>
      <w:pPr>
        <w:spacing w:after="800"/>
        <w:jc w:val="center"/>
      </w:pPr>
      <w:r>
        <w:rPr>
          <w:sz w:val="20"/>
          <w:szCs w:val="20"/>
        </w:rPr>
        <w:t xml:space="preserve">Document status: Draft for review — Architecture Version 1</w:t>
      </w:r>
    </w:p>
    <w:p>
      <w:pPr>
        <w:spacing w:after="200"/>
      </w:pPr>
      <w:r>
        <w:rPr>
          <w:i/>
          <w:iCs/>
          <w:sz w:val="20"/>
          <w:szCs w:val="20"/>
        </w:rPr>
        <w:t xml:space="preserve">Scope note: This document designs software architecture only. It does not redefine, extend, or reinterpret any requirement in the SRS, and it does not invent biological processing beyond what the SRS specifies. Where a design decision depends on information the SRS and EDA notebook do not provide, this is stated explicitly as an assumption rather than resolved silently.</w:t>
      </w:r>
    </w:p>
    <w:p>
      <w:r>
        <w:br w:type="page"/>
      </w:r>
    </w:p>
    <w:p>
      <w:pPr>
        <w:pStyle w:val="Heading1"/>
        <w:spacing w:after="200" w:before="400"/>
      </w:pPr>
      <w:r>
        <w:t xml:space="preserve">1. Architectural Goals</w:t>
      </w:r>
    </w:p>
    <w:p>
      <w:pPr>
        <w:spacing w:after="150"/>
      </w:pPr>
      <w:r>
        <w:rPr>
          <w:rFonts w:ascii="Calibri" w:cs="Calibri" w:eastAsia="Calibri" w:hAnsi="Calibri"/>
        </w:rPr>
        <w:t xml:space="preserve">These goals translate the SRS objectives (OBJ-1 through OBJ-5) and non-functional requirements (NFR-1 through NFR-6) into architecture-level properties. Each goal is traceable to specific SRS clauses so that no goal introduces new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00"/>
      </w:tblGrid>
      <w:tr>
        <w:trPr>
          <w:tblHeader/>
        </w:trPr>
        <w:tc>
          <w:tcPr>
            <w:tcW w:type="dxa" w:w="2200"/>
            <w:shd w:fill="2F5496" w:val="clear"/>
          </w:tcPr>
          <w:p>
            <w:r>
              <w:rPr>
                <w:rFonts w:ascii="Calibri" w:cs="Calibri" w:eastAsia="Calibri" w:hAnsi="Calibri"/>
                <w:b/>
                <w:bCs/>
                <w:color w:val="FFFFFF"/>
                <w:sz w:val="20"/>
                <w:szCs w:val="20"/>
              </w:rPr>
              <w:t xml:space="preserve">Goal</w:t>
            </w:r>
          </w:p>
        </w:tc>
        <w:tc>
          <w:tcPr>
            <w:tcW w:type="dxa" w:w="4600"/>
            <w:shd w:fill="2F5496" w:val="clear"/>
          </w:tcPr>
          <w:p>
            <w:r>
              <w:rPr>
                <w:rFonts w:ascii="Calibri" w:cs="Calibri" w:eastAsia="Calibri" w:hAnsi="Calibri"/>
                <w:b/>
                <w:bCs/>
                <w:color w:val="FFFFFF"/>
                <w:sz w:val="20"/>
                <w:szCs w:val="20"/>
              </w:rPr>
              <w:t xml:space="preserve">Architectural Property</w:t>
            </w:r>
          </w:p>
        </w:tc>
        <w:tc>
          <w:tcPr>
            <w:tcW w:type="dxa" w:w="2200"/>
            <w:shd w:fill="2F5496" w:val="clear"/>
          </w:tcPr>
          <w:p>
            <w:r>
              <w:rPr>
                <w:rFonts w:ascii="Calibri" w:cs="Calibri" w:eastAsia="Calibri" w:hAnsi="Calibri"/>
                <w:b/>
                <w:bCs/>
                <w:color w:val="FFFFFF"/>
                <w:sz w:val="20"/>
                <w:szCs w:val="20"/>
              </w:rPr>
              <w:t xml:space="preserve">Traceability</w:t>
            </w:r>
          </w:p>
        </w:tc>
      </w:tr>
      <w:tr>
        <w:tc>
          <w:tcPr>
            <w:tcW w:type="dxa" w:w="2200"/>
          </w:tcPr>
          <w:p>
            <w:r>
              <w:rPr>
                <w:rFonts w:ascii="Calibri" w:cs="Calibri" w:eastAsia="Calibri" w:hAnsi="Calibri"/>
                <w:sz w:val="20"/>
                <w:szCs w:val="20"/>
              </w:rPr>
              <w:t xml:space="preserve">Structural fidelity</w:t>
            </w:r>
          </w:p>
        </w:tc>
        <w:tc>
          <w:tcPr>
            <w:tcW w:type="dxa" w:w="4600"/>
          </w:tcPr>
          <w:p>
            <w:r>
              <w:rPr>
                <w:rFonts w:ascii="Calibri" w:cs="Calibri" w:eastAsia="Calibri" w:hAnsi="Calibri"/>
                <w:sz w:val="20"/>
                <w:szCs w:val="20"/>
              </w:rPr>
              <w:t xml:space="preserve">The system must never alter, reorder, deduplicate, or lose source data at any layer; all transformations are read/derive-only.</w:t>
            </w:r>
          </w:p>
        </w:tc>
        <w:tc>
          <w:tcPr>
            <w:tcW w:type="dxa" w:w="2200"/>
          </w:tcPr>
          <w:p>
            <w:r>
              <w:rPr>
                <w:rFonts w:ascii="Calibri" w:cs="Calibri" w:eastAsia="Calibri" w:hAnsi="Calibri"/>
                <w:sz w:val="20"/>
                <w:szCs w:val="20"/>
              </w:rPr>
              <w:t xml:space="preserve">OBJ-1, FR-14, NFR-2</w:t>
            </w:r>
          </w:p>
        </w:tc>
      </w:tr>
      <w:tr>
        <w:tc>
          <w:tcPr>
            <w:tcW w:type="dxa" w:w="2200"/>
          </w:tcPr>
          <w:p>
            <w:r>
              <w:rPr>
                <w:rFonts w:ascii="Calibri" w:cs="Calibri" w:eastAsia="Calibri" w:hAnsi="Calibri"/>
                <w:sz w:val="20"/>
                <w:szCs w:val="20"/>
              </w:rPr>
              <w:t xml:space="preserve">Empirical detection over assumption</w:t>
            </w:r>
          </w:p>
        </w:tc>
        <w:tc>
          <w:tcPr>
            <w:tcW w:type="dxa" w:w="4600"/>
          </w:tcPr>
          <w:p>
            <w:r>
              <w:rPr>
                <w:rFonts w:ascii="Calibri" w:cs="Calibri" w:eastAsia="Calibri" w:hAnsi="Calibri"/>
                <w:sz w:val="20"/>
                <w:szCs w:val="20"/>
              </w:rPr>
              <w:t xml:space="preserve">Encoding, delimiter, and header-form must be detected at runtime per file, never hard-coded as a fixed schema.</w:t>
            </w:r>
          </w:p>
        </w:tc>
        <w:tc>
          <w:tcPr>
            <w:tcW w:type="dxa" w:w="2200"/>
          </w:tcPr>
          <w:p>
            <w:r>
              <w:rPr>
                <w:rFonts w:ascii="Calibri" w:cs="Calibri" w:eastAsia="Calibri" w:hAnsi="Calibri"/>
                <w:sz w:val="20"/>
                <w:szCs w:val="20"/>
              </w:rPr>
              <w:t xml:space="preserve">OBJ-2, FR-2, FR-3, NFR-5</w:t>
            </w:r>
          </w:p>
        </w:tc>
      </w:tr>
      <w:tr>
        <w:tc>
          <w:tcPr>
            <w:tcW w:type="dxa" w:w="2200"/>
          </w:tcPr>
          <w:p>
            <w:r>
              <w:rPr>
                <w:rFonts w:ascii="Calibri" w:cs="Calibri" w:eastAsia="Calibri" w:hAnsi="Calibri"/>
                <w:sz w:val="20"/>
                <w:szCs w:val="20"/>
              </w:rPr>
              <w:t xml:space="preserve">Reproducible, auditable findings</w:t>
            </w:r>
          </w:p>
        </w:tc>
        <w:tc>
          <w:tcPr>
            <w:tcW w:type="dxa" w:w="4600"/>
          </w:tcPr>
          <w:p>
            <w:r>
              <w:rPr>
                <w:rFonts w:ascii="Calibri" w:cs="Calibri" w:eastAsia="Calibri" w:hAnsi="Calibri"/>
                <w:sz w:val="20"/>
                <w:szCs w:val="20"/>
              </w:rPr>
              <w:t xml:space="preserve">Every check must be deterministic and individually traceable to a named component, mirroring notebook sections.</w:t>
            </w:r>
          </w:p>
        </w:tc>
        <w:tc>
          <w:tcPr>
            <w:tcW w:type="dxa" w:w="2200"/>
          </w:tcPr>
          <w:p>
            <w:r>
              <w:rPr>
                <w:rFonts w:ascii="Calibri" w:cs="Calibri" w:eastAsia="Calibri" w:hAnsi="Calibri"/>
                <w:sz w:val="20"/>
                <w:szCs w:val="20"/>
              </w:rPr>
              <w:t xml:space="preserve">OBJ-3, NFR-3, NFR-6</w:t>
            </w:r>
          </w:p>
        </w:tc>
      </w:tr>
      <w:tr>
        <w:tc>
          <w:tcPr>
            <w:tcW w:type="dxa" w:w="2200"/>
          </w:tcPr>
          <w:p>
            <w:r>
              <w:rPr>
                <w:rFonts w:ascii="Calibri" w:cs="Calibri" w:eastAsia="Calibri" w:hAnsi="Calibri"/>
                <w:sz w:val="20"/>
                <w:szCs w:val="20"/>
              </w:rPr>
              <w:t xml:space="preserve">Descriptive-only genomic profiling</w:t>
            </w:r>
          </w:p>
        </w:tc>
        <w:tc>
          <w:tcPr>
            <w:tcW w:type="dxa" w:w="4600"/>
          </w:tcPr>
          <w:p>
            <w:r>
              <w:rPr>
                <w:rFonts w:ascii="Calibri" w:cs="Calibri" w:eastAsia="Calibri" w:hAnsi="Calibri"/>
                <w:sz w:val="20"/>
                <w:szCs w:val="20"/>
              </w:rPr>
              <w:t xml:space="preserve">Genomic notation profiling must report facts (labels, lengths, token counts) without asserting cross-file equivalence or biological meaning.</w:t>
            </w:r>
          </w:p>
        </w:tc>
        <w:tc>
          <w:tcPr>
            <w:tcW w:type="dxa" w:w="2200"/>
          </w:tcPr>
          <w:p>
            <w:r>
              <w:rPr>
                <w:rFonts w:ascii="Calibri" w:cs="Calibri" w:eastAsia="Calibri" w:hAnsi="Calibri"/>
                <w:sz w:val="20"/>
                <w:szCs w:val="20"/>
              </w:rPr>
              <w:t xml:space="preserve">OBJ-4, FR-10, FR-11, FR-12</w:t>
            </w:r>
          </w:p>
        </w:tc>
      </w:tr>
      <w:tr>
        <w:tc>
          <w:tcPr>
            <w:tcW w:type="dxa" w:w="2200"/>
          </w:tcPr>
          <w:p>
            <w:r>
              <w:rPr>
                <w:rFonts w:ascii="Calibri" w:cs="Calibri" w:eastAsia="Calibri" w:hAnsi="Calibri"/>
                <w:sz w:val="20"/>
                <w:szCs w:val="20"/>
              </w:rPr>
              <w:t xml:space="preserve">Explicit unresolved questions</w:t>
            </w:r>
          </w:p>
        </w:tc>
        <w:tc>
          <w:tcPr>
            <w:tcW w:type="dxa" w:w="4600"/>
          </w:tcPr>
          <w:p>
            <w:r>
              <w:rPr>
                <w:rFonts w:ascii="Calibri" w:cs="Calibri" w:eastAsia="Calibri" w:hAnsi="Calibri"/>
                <w:sz w:val="20"/>
                <w:szCs w:val="20"/>
              </w:rPr>
              <w:t xml:space="preserve">Every open question identified by the SRS/EDA must be surfaced as first-class output, never silently dropped.</w:t>
            </w:r>
          </w:p>
        </w:tc>
        <w:tc>
          <w:tcPr>
            <w:tcW w:type="dxa" w:w="2200"/>
          </w:tcPr>
          <w:p>
            <w:r>
              <w:rPr>
                <w:rFonts w:ascii="Calibri" w:cs="Calibri" w:eastAsia="Calibri" w:hAnsi="Calibri"/>
                <w:sz w:val="20"/>
                <w:szCs w:val="20"/>
              </w:rPr>
              <w:t xml:space="preserve">OBJ-5, OUT-9</w:t>
            </w:r>
          </w:p>
        </w:tc>
      </w:tr>
      <w:tr>
        <w:tc>
          <w:tcPr>
            <w:tcW w:type="dxa" w:w="2200"/>
          </w:tcPr>
          <w:p>
            <w:r>
              <w:rPr>
                <w:rFonts w:ascii="Calibri" w:cs="Calibri" w:eastAsia="Calibri" w:hAnsi="Calibri"/>
                <w:sz w:val="20"/>
                <w:szCs w:val="20"/>
              </w:rPr>
              <w:t xml:space="preserve">Per-file independence</w:t>
            </w:r>
          </w:p>
        </w:tc>
        <w:tc>
          <w:tcPr>
            <w:tcW w:type="dxa" w:w="4600"/>
          </w:tcPr>
          <w:p>
            <w:r>
              <w:rPr>
                <w:rFonts w:ascii="Calibri" w:cs="Calibri" w:eastAsia="Calibri" w:hAnsi="Calibri"/>
                <w:sz w:val="20"/>
                <w:szCs w:val="20"/>
              </w:rPr>
              <w:t xml:space="preserve">No architectural component may read or reference more than one input file's data during a single profiling run.</w:t>
            </w:r>
          </w:p>
        </w:tc>
        <w:tc>
          <w:tcPr>
            <w:tcW w:type="dxa" w:w="2200"/>
          </w:tcPr>
          <w:p>
            <w:r>
              <w:rPr>
                <w:rFonts w:ascii="Calibri" w:cs="Calibri" w:eastAsia="Calibri" w:hAnsi="Calibri"/>
                <w:sz w:val="20"/>
                <w:szCs w:val="20"/>
              </w:rPr>
              <w:t xml:space="preserve">FR-15, CON-3</w:t>
            </w:r>
          </w:p>
        </w:tc>
      </w:tr>
      <w:tr>
        <w:tc>
          <w:tcPr>
            <w:tcW w:type="dxa" w:w="2200"/>
          </w:tcPr>
          <w:p>
            <w:r>
              <w:rPr>
                <w:rFonts w:ascii="Calibri" w:cs="Calibri" w:eastAsia="Calibri" w:hAnsi="Calibri"/>
                <w:sz w:val="20"/>
                <w:szCs w:val="20"/>
              </w:rPr>
              <w:t xml:space="preserve">Sensitivity-aware handling</w:t>
            </w:r>
          </w:p>
        </w:tc>
        <w:tc>
          <w:tcPr>
            <w:tcW w:type="dxa" w:w="4600"/>
          </w:tcPr>
          <w:p>
            <w:r>
              <w:rPr>
                <w:rFonts w:ascii="Calibri" w:cs="Calibri" w:eastAsia="Calibri" w:hAnsi="Calibri"/>
                <w:sz w:val="20"/>
                <w:szCs w:val="20"/>
              </w:rPr>
              <w:t xml:space="preserve">Architecture must avoid incidental exposure of raw genotype values in logs, errors, or intermediate artifacts beyond what reporting requires.</w:t>
            </w:r>
          </w:p>
        </w:tc>
        <w:tc>
          <w:tcPr>
            <w:tcW w:type="dxa" w:w="2200"/>
          </w:tcPr>
          <w:p>
            <w:r>
              <w:rPr>
                <w:rFonts w:ascii="Calibri" w:cs="Calibri" w:eastAsia="Calibri" w:hAnsi="Calibri"/>
                <w:sz w:val="20"/>
                <w:szCs w:val="20"/>
              </w:rPr>
              <w:t xml:space="preserve">NFR-4, RISK-8</w:t>
            </w:r>
          </w:p>
        </w:tc>
      </w:tr>
      <w:tr>
        <w:tc>
          <w:tcPr>
            <w:tcW w:type="dxa" w:w="2200"/>
          </w:tcPr>
          <w:p>
            <w:r>
              <w:rPr>
                <w:rFonts w:ascii="Calibri" w:cs="Calibri" w:eastAsia="Calibri" w:hAnsi="Calibri"/>
                <w:sz w:val="20"/>
                <w:szCs w:val="20"/>
              </w:rPr>
              <w:t xml:space="preserve">Extensibility without redesign</w:t>
            </w:r>
          </w:p>
        </w:tc>
        <w:tc>
          <w:tcPr>
            <w:tcW w:type="dxa" w:w="4600"/>
          </w:tcPr>
          <w:p>
            <w:r>
              <w:rPr>
                <w:rFonts w:ascii="Calibri" w:cs="Calibri" w:eastAsia="Calibri" w:hAnsi="Calibri"/>
                <w:sz w:val="20"/>
                <w:szCs w:val="20"/>
              </w:rPr>
              <w:t xml:space="preserve">New vendor file layouts must be supportable by adding components, not by modifying existing ones.</w:t>
            </w:r>
          </w:p>
        </w:tc>
        <w:tc>
          <w:tcPr>
            <w:tcW w:type="dxa" w:w="2200"/>
          </w:tcPr>
          <w:p>
            <w:r>
              <w:rPr>
                <w:rFonts w:ascii="Calibri" w:cs="Calibri" w:eastAsia="Calibri" w:hAnsi="Calibri"/>
                <w:sz w:val="20"/>
                <w:szCs w:val="20"/>
              </w:rPr>
              <w:t xml:space="preserve">NFR-5, CON-1, CON-5</w:t>
            </w:r>
          </w:p>
        </w:tc>
      </w:tr>
      <w:tr>
        <w:tc>
          <w:tcPr>
            <w:tcW w:type="dxa" w:w="2200"/>
          </w:tcPr>
          <w:p>
            <w:r>
              <w:rPr>
                <w:rFonts w:ascii="Calibri" w:cs="Calibri" w:eastAsia="Calibri" w:hAnsi="Calibri"/>
                <w:sz w:val="20"/>
                <w:szCs w:val="20"/>
              </w:rPr>
              <w:t xml:space="preserve">Testability</w:t>
            </w:r>
          </w:p>
        </w:tc>
        <w:tc>
          <w:tcPr>
            <w:tcW w:type="dxa" w:w="4600"/>
          </w:tcPr>
          <w:p>
            <w:r>
              <w:rPr>
                <w:rFonts w:ascii="Calibri" w:cs="Calibri" w:eastAsia="Calibri" w:hAnsi="Calibri"/>
                <w:sz w:val="20"/>
                <w:szCs w:val="20"/>
              </w:rPr>
              <w:t xml:space="preserve">Domain logic must be independently testable without file I/O, network, or external services.</w:t>
            </w:r>
          </w:p>
        </w:tc>
        <w:tc>
          <w:tcPr>
            <w:tcW w:type="dxa" w:w="2200"/>
          </w:tcPr>
          <w:p>
            <w:r>
              <w:rPr>
                <w:rFonts w:ascii="Calibri" w:cs="Calibri" w:eastAsia="Calibri" w:hAnsi="Calibri"/>
                <w:sz w:val="20"/>
                <w:szCs w:val="20"/>
              </w:rPr>
              <w:t xml:space="preserve">General engineering constraint (SOLID/testability instruction)</w:t>
            </w:r>
          </w:p>
        </w:tc>
      </w:tr>
    </w:tbl>
    <w:p>
      <w:pPr>
        <w:pStyle w:val="Heading1"/>
        <w:spacing w:after="200" w:before="400"/>
      </w:pPr>
      <w:r>
        <w:t xml:space="preserve">2. Overall Architecture (Text Diagram)</w:t>
      </w:r>
    </w:p>
    <w:p>
      <w:pPr>
        <w:spacing w:after="150"/>
      </w:pPr>
      <w:r>
        <w:rPr>
          <w:rFonts w:ascii="Calibri" w:cs="Calibri" w:eastAsia="Calibri" w:hAnsi="Calibri"/>
        </w:rPr>
        <w:t xml:space="preserve">Version 1 is a single-process, per-file profiling pipeline. Each input file is processed independently end-to-end; there is no shared mutable state between files and no merge step (FR-15).</w:t>
      </w:r>
    </w:p>
    <w:p>
      <w:pPr>
        <w:pBdr>
          <w:top w:val="single" w:color="CCCCCC" w:sz="4"/>
          <w:bottom w:val="single" w:color="CCCCCC" w:sz="4"/>
        </w:pBdr>
        <w:shd w:fill="F2F2F2" w:val="clear"/>
        <w:spacing w:after="200"/>
      </w:pPr>
      <w:r>
        <w:rPr>
          <w:rFonts w:ascii="Consolas" w:cs="Consolas" w:eastAsia="Consolas" w:hAnsi="Consolas"/>
          <w:sz w:val="18"/>
          <w:szCs w:val="18"/>
        </w:rPr>
        <w:t xml:space="preserve">                         ┌───────────────────────────┐</w:t>
      </w:r>
      <w:r>
        <w:rPr>
          <w:rFonts w:ascii="Consolas" w:cs="Consolas" w:eastAsia="Consolas" w:hAnsi="Consolas"/>
          <w:sz w:val="18"/>
          <w:szCs w:val="18"/>
        </w:rPr>
        <w:br/>
        <w:t xml:space="preserve">                         │        CLI Entrypoint      │</w:t>
      </w:r>
      <w:r>
        <w:rPr>
          <w:rFonts w:ascii="Consolas" w:cs="Consolas" w:eastAsia="Consolas" w:hAnsi="Consolas"/>
          <w:sz w:val="18"/>
          <w:szCs w:val="18"/>
        </w:rPr>
        <w:br/>
        <w:t xml:space="preserve">                         │   (phenopred/cli/main.py)  │</w:t>
      </w:r>
      <w:r>
        <w:rPr>
          <w:rFonts w:ascii="Consolas" w:cs="Consolas" w:eastAsia="Consolas" w:hAnsi="Consolas"/>
          <w:sz w:val="18"/>
          <w:szCs w:val="18"/>
        </w:rPr>
        <w:br/>
        <w:t xml:space="preserve">                         └─────────────┬─────────────┘</w:t>
      </w:r>
      <w:r>
        <w:rPr>
          <w:rFonts w:ascii="Consolas" w:cs="Consolas" w:eastAsia="Consolas" w:hAnsi="Consolas"/>
          <w:sz w:val="18"/>
          <w:szCs w:val="18"/>
        </w:rPr>
        <w:br/>
        <w:t xml:space="preserve">                                       │ invokes</w:t>
      </w:r>
      <w:r>
        <w:rPr>
          <w:rFonts w:ascii="Consolas" w:cs="Consolas" w:eastAsia="Consolas" w:hAnsi="Consolas"/>
          <w:sz w:val="18"/>
          <w:szCs w:val="18"/>
        </w:rPr>
        <w:br/>
        <w:t xml:space="preserve">                         ┌─────────────▼─────────────┐</w:t>
      </w:r>
      <w:r>
        <w:rPr>
          <w:rFonts w:ascii="Consolas" w:cs="Consolas" w:eastAsia="Consolas" w:hAnsi="Consolas"/>
          <w:sz w:val="18"/>
          <w:szCs w:val="18"/>
        </w:rPr>
        <w:br/>
        <w:t xml:space="preserve">                         │   Application Orchestrator  │</w:t>
      </w:r>
      <w:r>
        <w:rPr>
          <w:rFonts w:ascii="Consolas" w:cs="Consolas" w:eastAsia="Consolas" w:hAnsi="Consolas"/>
          <w:sz w:val="18"/>
          <w:szCs w:val="18"/>
        </w:rPr>
        <w:br/>
        <w:t xml:space="preserve">                         │  ProfileFileUseCase (1 per   │</w:t>
      </w:r>
      <w:r>
        <w:rPr>
          <w:rFonts w:ascii="Consolas" w:cs="Consolas" w:eastAsia="Consolas" w:hAnsi="Consolas"/>
          <w:sz w:val="18"/>
          <w:szCs w:val="18"/>
        </w:rPr>
        <w:br/>
        <w:t xml:space="preserve">                         │        input file)           │</w:t>
      </w:r>
      <w:r>
        <w:rPr>
          <w:rFonts w:ascii="Consolas" w:cs="Consolas" w:eastAsia="Consolas" w:hAnsi="Consolas"/>
          <w:sz w:val="18"/>
          <w:szCs w:val="18"/>
        </w:rPr>
        <w:br/>
        <w:t xml:space="preserve">                         └─────────────┬─────────────┘</w:t>
      </w:r>
      <w:r>
        <w:rPr>
          <w:rFonts w:ascii="Consolas" w:cs="Consolas" w:eastAsia="Consolas" w:hAnsi="Consolas"/>
          <w:sz w:val="18"/>
          <w:szCs w:val="18"/>
        </w:rPr>
        <w:br/>
        <w:t xml:space="preserve">                                       │ coordinates (domain, pure logic)</w:t>
      </w:r>
      <w:r>
        <w:rPr>
          <w:rFonts w:ascii="Consolas" w:cs="Consolas" w:eastAsia="Consolas" w:hAnsi="Consolas"/>
          <w:sz w:val="18"/>
          <w:szCs w:val="18"/>
        </w:rPr>
        <w:br/>
        <w:t xml:space="preserve">        ┌──────────────┬──────────────┼──────────────┬──────────────┐</w:t>
      </w:r>
      <w:r>
        <w:rPr>
          <w:rFonts w:ascii="Consolas" w:cs="Consolas" w:eastAsia="Consolas" w:hAnsi="Consolas"/>
          <w:sz w:val="18"/>
          <w:szCs w:val="18"/>
        </w:rPr>
        <w:br/>
        <w:t xml:space="preserve">        ▼              ▼              ▼              ▼              ▼</w:t>
      </w:r>
      <w:r>
        <w:rPr>
          <w:rFonts w:ascii="Consolas" w:cs="Consolas" w:eastAsia="Consolas" w:hAnsi="Consolas"/>
          <w:sz w:val="18"/>
          <w:szCs w:val="18"/>
        </w:rPr>
        <w:br/>
        <w:t xml:space="preserve">  ┌───────────┐ ┌──────────────┐ ┌──────────┐ ┌───────────────┐ ┌───────────┐</w:t>
      </w:r>
      <w:r>
        <w:rPr>
          <w:rFonts w:ascii="Consolas" w:cs="Consolas" w:eastAsia="Consolas" w:hAnsi="Consolas"/>
          <w:sz w:val="18"/>
          <w:szCs w:val="18"/>
        </w:rPr>
        <w:br/>
        <w:t xml:space="preserve">  │ Ingestion  │ │  Structural   │ │  Row      │ │ Data-Quality  │ │ Genomic   │</w:t>
      </w:r>
      <w:r>
        <w:rPr>
          <w:rFonts w:ascii="Consolas" w:cs="Consolas" w:eastAsia="Consolas" w:hAnsi="Consolas"/>
          <w:sz w:val="18"/>
          <w:szCs w:val="18"/>
        </w:rPr>
        <w:br/>
        <w:t xml:space="preserve">  │ (comment / │ │  Detection    │ │  Parsing  │ │ Checks        │ │ Notation  │</w:t>
      </w:r>
      <w:r>
        <w:rPr>
          <w:rFonts w:ascii="Consolas" w:cs="Consolas" w:eastAsia="Consolas" w:hAnsi="Consolas"/>
          <w:sz w:val="18"/>
          <w:szCs w:val="18"/>
        </w:rPr>
        <w:br/>
        <w:t xml:space="preserve">  │  data split│ │ (encoding,    │ │           │ │ (FR-6..FR-9)  │ │ Profiling │</w:t>
      </w:r>
      <w:r>
        <w:rPr>
          <w:rFonts w:ascii="Consolas" w:cs="Consolas" w:eastAsia="Consolas" w:hAnsi="Consolas"/>
          <w:sz w:val="18"/>
          <w:szCs w:val="18"/>
        </w:rPr>
        <w:br/>
        <w:t xml:space="preserve">  │  FR-1)     │ │  delimiter,   │ │ (FR-4)    │ │               │ │ (FR-10..  │</w:t>
      </w:r>
      <w:r>
        <w:rPr>
          <w:rFonts w:ascii="Consolas" w:cs="Consolas" w:eastAsia="Consolas" w:hAnsi="Consolas"/>
          <w:sz w:val="18"/>
          <w:szCs w:val="18"/>
        </w:rPr>
        <w:br/>
        <w:t xml:space="preserve">  │            │ │  header,      │ │           │ │               │ │  FR-12)   │</w:t>
      </w:r>
      <w:r>
        <w:rPr>
          <w:rFonts w:ascii="Consolas" w:cs="Consolas" w:eastAsia="Consolas" w:hAnsi="Consolas"/>
          <w:sz w:val="18"/>
          <w:szCs w:val="18"/>
        </w:rPr>
        <w:br/>
        <w:t xml:space="preserve">  │            │ │  FR-2,FR-3,   │ │           │ │               │ │           │</w:t>
      </w:r>
      <w:r>
        <w:rPr>
          <w:rFonts w:ascii="Consolas" w:cs="Consolas" w:eastAsia="Consolas" w:hAnsi="Consolas"/>
          <w:sz w:val="18"/>
          <w:szCs w:val="18"/>
        </w:rPr>
        <w:br/>
        <w:t xml:space="preserve">  │            │ │  FR-5,FR-13)  │ │           │ │               │ │           │</w:t>
      </w:r>
      <w:r>
        <w:rPr>
          <w:rFonts w:ascii="Consolas" w:cs="Consolas" w:eastAsia="Consolas" w:hAnsi="Consolas"/>
          <w:sz w:val="18"/>
          <w:szCs w:val="18"/>
        </w:rPr>
        <w:br/>
        <w:t xml:space="preserve">  └───────────┘ └──────────────┘ └──────────┘ └───────────────┘ └───────────┘</w:t>
      </w:r>
      <w:r>
        <w:rPr>
          <w:rFonts w:ascii="Consolas" w:cs="Consolas" w:eastAsia="Consolas" w:hAnsi="Consolas"/>
          <w:sz w:val="18"/>
          <w:szCs w:val="18"/>
        </w:rPr>
        <w:br/>
        <w:t xml:space="preserve">        │              │              │              │              │</w:t>
      </w:r>
      <w:r>
        <w:rPr>
          <w:rFonts w:ascii="Consolas" w:cs="Consolas" w:eastAsia="Consolas" w:hAnsi="Consolas"/>
          <w:sz w:val="18"/>
          <w:szCs w:val="18"/>
        </w:rPr>
        <w:br/>
        <w:t xml:space="preserve">        └──────────────┴──────────────┴──────────────┴──────────────┘</w:t>
      </w:r>
      <w:r>
        <w:rPr>
          <w:rFonts w:ascii="Consolas" w:cs="Consolas" w:eastAsia="Consolas" w:hAnsi="Consolas"/>
          <w:sz w:val="18"/>
          <w:szCs w:val="18"/>
        </w:rPr>
        <w:br/>
        <w:t xml:space="preserve">                                       │ findings + profiles + open questions</w:t>
      </w:r>
      <w:r>
        <w:rPr>
          <w:rFonts w:ascii="Consolas" w:cs="Consolas" w:eastAsia="Consolas" w:hAnsi="Consolas"/>
          <w:sz w:val="18"/>
          <w:szCs w:val="18"/>
        </w:rPr>
        <w:br/>
        <w:t xml:space="preserve">                         ┌─────────────▼─────────────┐</w:t>
      </w:r>
      <w:r>
        <w:rPr>
          <w:rFonts w:ascii="Consolas" w:cs="Consolas" w:eastAsia="Consolas" w:hAnsi="Consolas"/>
          <w:sz w:val="18"/>
          <w:szCs w:val="18"/>
        </w:rPr>
        <w:br/>
        <w:t xml:space="preserve">                         │      Report Builder         │</w:t>
      </w:r>
      <w:r>
        <w:rPr>
          <w:rFonts w:ascii="Consolas" w:cs="Consolas" w:eastAsia="Consolas" w:hAnsi="Consolas"/>
          <w:sz w:val="18"/>
          <w:szCs w:val="18"/>
        </w:rPr>
        <w:br/>
        <w:t xml:space="preserve">                         │  (assembles ProfilingReport,│</w:t>
      </w:r>
      <w:r>
        <w:rPr>
          <w:rFonts w:ascii="Consolas" w:cs="Consolas" w:eastAsia="Consolas" w:hAnsi="Consolas"/>
          <w:sz w:val="18"/>
          <w:szCs w:val="18"/>
        </w:rPr>
        <w:br/>
        <w:t xml:space="preserve">                         │   OUT-1..OUT-9)              │</w:t>
      </w:r>
      <w:r>
        <w:rPr>
          <w:rFonts w:ascii="Consolas" w:cs="Consolas" w:eastAsia="Consolas" w:hAnsi="Consolas"/>
          <w:sz w:val="18"/>
          <w:szCs w:val="18"/>
        </w:rPr>
        <w:br/>
        <w:t xml:space="preserve">                         └─────────────┬─────────────┘</w:t>
      </w:r>
      <w:r>
        <w:rPr>
          <w:rFonts w:ascii="Consolas" w:cs="Consolas" w:eastAsia="Consolas" w:hAnsi="Consolas"/>
          <w:sz w:val="18"/>
          <w:szCs w:val="18"/>
        </w:rPr>
        <w:br/>
        <w:t xml:space="preserve">                                       │ ReportSerializer interface</w:t>
      </w:r>
      <w:r>
        <w:rPr>
          <w:rFonts w:ascii="Consolas" w:cs="Consolas" w:eastAsia="Consolas" w:hAnsi="Consolas"/>
          <w:sz w:val="18"/>
          <w:szCs w:val="18"/>
        </w:rPr>
        <w:br/>
        <w:t xml:space="preserve">                         ┌─────────────▼─────────────┐</w:t>
      </w:r>
      <w:r>
        <w:rPr>
          <w:rFonts w:ascii="Consolas" w:cs="Consolas" w:eastAsia="Consolas" w:hAnsi="Consolas"/>
          <w:sz w:val="18"/>
          <w:szCs w:val="18"/>
        </w:rPr>
        <w:br/>
        <w:t xml:space="preserve">                         │     Infrastructure I/O       │</w:t>
      </w:r>
      <w:r>
        <w:rPr>
          <w:rFonts w:ascii="Consolas" w:cs="Consolas" w:eastAsia="Consolas" w:hAnsi="Consolas"/>
          <w:sz w:val="18"/>
          <w:szCs w:val="18"/>
        </w:rPr>
        <w:br/>
        <w:t xml:space="preserve">                         │  FileLoader (read-only) /   │</w:t>
      </w:r>
      <w:r>
        <w:rPr>
          <w:rFonts w:ascii="Consolas" w:cs="Consolas" w:eastAsia="Consolas" w:hAnsi="Consolas"/>
          <w:sz w:val="18"/>
          <w:szCs w:val="18"/>
        </w:rPr>
        <w:br/>
        <w:t xml:space="preserve">                         │  ReportWriter (per file)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Cross-cutting (used by all layers): Configuration · Logging · Error Handling</w:t>
      </w:r>
    </w:p>
    <w:p>
      <w:pPr>
        <w:spacing w:after="150"/>
      </w:pPr>
      <w:r>
        <w:rPr>
          <w:rFonts w:ascii="Calibri" w:cs="Calibri" w:eastAsia="Calibri" w:hAnsi="Calibri"/>
        </w:rPr>
        <w:t xml:space="preserve">Two input files (Dataset A and Dataset B, or any future file of this kind) each pass through this same pipeline in full isolation from one another; the diagram represents one execution of the pipeline for one file.</w:t>
      </w:r>
    </w:p>
    <w:p>
      <w:pPr>
        <w:pStyle w:val="Heading1"/>
        <w:spacing w:after="200" w:before="400"/>
      </w:pPr>
      <w:r>
        <w:t xml:space="preserve">3. Layered Architecture</w:t>
      </w:r>
    </w:p>
    <w:p>
      <w:pPr>
        <w:spacing w:after="150"/>
      </w:pPr>
      <w:r>
        <w:rPr>
          <w:rFonts w:ascii="Calibri" w:cs="Calibri" w:eastAsia="Calibri" w:hAnsi="Calibri"/>
        </w:rPr>
        <w:t xml:space="preserve">The system is organized into four layers, following separation of concerns and the Dependency Inversion Principle: outer layers depend inward on abstractions defined by the domain layer, never the reverse.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400"/>
        <w:gridCol w:w="1200"/>
      </w:tblGrid>
      <w:tr>
        <w:trPr>
          <w:tblHeader/>
        </w:trPr>
        <w:tc>
          <w:tcPr>
            <w:tcW w:type="dxa" w:w="2200"/>
            <w:shd w:fill="2F5496" w:val="clear"/>
          </w:tcPr>
          <w:p>
            <w:r>
              <w:rPr>
                <w:rFonts w:ascii="Calibri" w:cs="Calibri" w:eastAsia="Calibri" w:hAnsi="Calibri"/>
                <w:b/>
                <w:bCs/>
                <w:color w:val="FFFFFF"/>
                <w:sz w:val="20"/>
                <w:szCs w:val="20"/>
              </w:rPr>
              <w:t xml:space="preserve">Layer</w:t>
            </w:r>
          </w:p>
        </w:tc>
        <w:tc>
          <w:tcPr>
            <w:tcW w:type="dxa" w:w="3600"/>
            <w:shd w:fill="2F5496" w:val="clear"/>
          </w:tcPr>
          <w:p>
            <w:r>
              <w:rPr>
                <w:rFonts w:ascii="Calibri" w:cs="Calibri" w:eastAsia="Calibri" w:hAnsi="Calibri"/>
                <w:b/>
                <w:bCs/>
                <w:color w:val="FFFFFF"/>
                <w:sz w:val="20"/>
                <w:szCs w:val="20"/>
              </w:rPr>
              <w:t xml:space="preserve">Contains</w:t>
            </w:r>
          </w:p>
        </w:tc>
        <w:tc>
          <w:tcPr>
            <w:tcW w:type="dxa" w:w="2400"/>
            <w:shd w:fill="2F5496" w:val="clear"/>
          </w:tcPr>
          <w:p>
            <w:r>
              <w:rPr>
                <w:rFonts w:ascii="Calibri" w:cs="Calibri" w:eastAsia="Calibri" w:hAnsi="Calibri"/>
                <w:b/>
                <w:bCs/>
                <w:color w:val="FFFFFF"/>
                <w:sz w:val="20"/>
                <w:szCs w:val="20"/>
              </w:rPr>
              <w:t xml:space="preserve">Depends on</w:t>
            </w:r>
          </w:p>
        </w:tc>
        <w:tc>
          <w:tcPr>
            <w:tcW w:type="dxa" w:w="1200"/>
            <w:shd w:fill="2F5496" w:val="clear"/>
          </w:tcPr>
          <w:p>
            <w:r>
              <w:rPr>
                <w:rFonts w:ascii="Calibri" w:cs="Calibri" w:eastAsia="Calibri" w:hAnsi="Calibri"/>
                <w:b/>
                <w:bCs/>
                <w:color w:val="FFFFFF"/>
                <w:sz w:val="20"/>
                <w:szCs w:val="20"/>
              </w:rPr>
              <w:t xml:space="preserve">I/O?</w:t>
            </w:r>
          </w:p>
        </w:tc>
      </w:tr>
      <w:tr>
        <w:tc>
          <w:tcPr>
            <w:tcW w:type="dxa" w:w="2200"/>
          </w:tcPr>
          <w:p>
            <w:r>
              <w:rPr>
                <w:rFonts w:ascii="Calibri" w:cs="Calibri" w:eastAsia="Calibri" w:hAnsi="Calibri"/>
                <w:sz w:val="20"/>
                <w:szCs w:val="20"/>
              </w:rPr>
              <w:t xml:space="preserve">Presentation (CLI)</w:t>
            </w:r>
          </w:p>
        </w:tc>
        <w:tc>
          <w:tcPr>
            <w:tcW w:type="dxa" w:w="3600"/>
          </w:tcPr>
          <w:p>
            <w:r>
              <w:rPr>
                <w:rFonts w:ascii="Calibri" w:cs="Calibri" w:eastAsia="Calibri" w:hAnsi="Calibri"/>
                <w:sz w:val="20"/>
                <w:szCs w:val="20"/>
              </w:rPr>
              <w:t xml:space="preserve">Command-line entrypoint, argument parsing, exit-code handling</w:t>
            </w:r>
          </w:p>
        </w:tc>
        <w:tc>
          <w:tcPr>
            <w:tcW w:type="dxa" w:w="2400"/>
          </w:tcPr>
          <w:p>
            <w:r>
              <w:rPr>
                <w:rFonts w:ascii="Calibri" w:cs="Calibri" w:eastAsia="Calibri" w:hAnsi="Calibri"/>
                <w:sz w:val="20"/>
                <w:szCs w:val="20"/>
              </w:rPr>
              <w:t xml:space="preserve">Application layer</w:t>
            </w:r>
          </w:p>
        </w:tc>
        <w:tc>
          <w:tcPr>
            <w:tcW w:type="dxa" w:w="1200"/>
          </w:tcPr>
          <w:p>
            <w:r>
              <w:rPr>
                <w:rFonts w:ascii="Calibri" w:cs="Calibri" w:eastAsia="Calibri" w:hAnsi="Calibri"/>
                <w:sz w:val="20"/>
                <w:szCs w:val="20"/>
              </w:rPr>
              <w:t xml:space="preserve">No (delegates)</w:t>
            </w:r>
          </w:p>
        </w:tc>
      </w:tr>
      <w:tr>
        <w:tc>
          <w:tcPr>
            <w:tcW w:type="dxa" w:w="2200"/>
          </w:tcPr>
          <w:p>
            <w:r>
              <w:rPr>
                <w:rFonts w:ascii="Calibri" w:cs="Calibri" w:eastAsia="Calibri" w:hAnsi="Calibri"/>
                <w:sz w:val="20"/>
                <w:szCs w:val="20"/>
              </w:rPr>
              <w:t xml:space="preserve">Application (Orchestration)</w:t>
            </w:r>
          </w:p>
        </w:tc>
        <w:tc>
          <w:tcPr>
            <w:tcW w:type="dxa" w:w="3600"/>
          </w:tcPr>
          <w:p>
            <w:r>
              <w:rPr>
                <w:rFonts w:ascii="Calibri" w:cs="Calibri" w:eastAsia="Calibri" w:hAnsi="Calibri"/>
                <w:sz w:val="20"/>
                <w:szCs w:val="20"/>
              </w:rPr>
              <w:t xml:space="preserve">Use-case coordinators that sequence domain operations for one file</w:t>
            </w:r>
          </w:p>
        </w:tc>
        <w:tc>
          <w:tcPr>
            <w:tcW w:type="dxa" w:w="2400"/>
          </w:tcPr>
          <w:p>
            <w:r>
              <w:rPr>
                <w:rFonts w:ascii="Calibri" w:cs="Calibri" w:eastAsia="Calibri" w:hAnsi="Calibri"/>
                <w:sz w:val="20"/>
                <w:szCs w:val="20"/>
              </w:rPr>
              <w:t xml:space="preserve">Domain layer (via interfaces), Infrastructure (via injected implementations)</w:t>
            </w:r>
          </w:p>
        </w:tc>
        <w:tc>
          <w:tcPr>
            <w:tcW w:type="dxa" w:w="1200"/>
          </w:tcPr>
          <w:p>
            <w:r>
              <w:rPr>
                <w:rFonts w:ascii="Calibri" w:cs="Calibri" w:eastAsia="Calibri" w:hAnsi="Calibri"/>
                <w:sz w:val="20"/>
                <w:szCs w:val="20"/>
              </w:rPr>
              <w:t xml:space="preserve">No (delegates)</w:t>
            </w:r>
          </w:p>
        </w:tc>
      </w:tr>
      <w:tr>
        <w:tc>
          <w:tcPr>
            <w:tcW w:type="dxa" w:w="2200"/>
          </w:tcPr>
          <w:p>
            <w:r>
              <w:rPr>
                <w:rFonts w:ascii="Calibri" w:cs="Calibri" w:eastAsia="Calibri" w:hAnsi="Calibri"/>
                <w:sz w:val="20"/>
                <w:szCs w:val="20"/>
              </w:rPr>
              <w:t xml:space="preserve">Domain</w:t>
            </w:r>
          </w:p>
        </w:tc>
        <w:tc>
          <w:tcPr>
            <w:tcW w:type="dxa" w:w="3600"/>
          </w:tcPr>
          <w:p>
            <w:r>
              <w:rPr>
                <w:rFonts w:ascii="Calibri" w:cs="Calibri" w:eastAsia="Calibri" w:hAnsi="Calibri"/>
                <w:sz w:val="20"/>
                <w:szCs w:val="20"/>
              </w:rPr>
              <w:t xml:space="preserve">Entities, value objects, detectors, checks, profilers, report model — pure logic</w:t>
            </w:r>
          </w:p>
        </w:tc>
        <w:tc>
          <w:tcPr>
            <w:tcW w:type="dxa" w:w="2400"/>
          </w:tcPr>
          <w:p>
            <w:r>
              <w:rPr>
                <w:rFonts w:ascii="Calibri" w:cs="Calibri" w:eastAsia="Calibri" w:hAnsi="Calibri"/>
                <w:sz w:val="20"/>
                <w:szCs w:val="20"/>
              </w:rPr>
              <w:t xml:space="preserve">Nothing outside itself (no file/network access)</w:t>
            </w:r>
          </w:p>
        </w:tc>
        <w:tc>
          <w:tcPr>
            <w:tcW w:type="dxa" w:w="1200"/>
          </w:tcPr>
          <w:p>
            <w:r>
              <w:rPr>
                <w:rFonts w:ascii="Calibri" w:cs="Calibri" w:eastAsia="Calibri" w:hAnsi="Calibri"/>
                <w:sz w:val="20"/>
                <w:szCs w:val="20"/>
              </w:rPr>
              <w:t xml:space="preserve">None</w:t>
            </w:r>
          </w:p>
        </w:tc>
      </w:tr>
      <w:tr>
        <w:tc>
          <w:tcPr>
            <w:tcW w:type="dxa" w:w="2200"/>
          </w:tcPr>
          <w:p>
            <w:r>
              <w:rPr>
                <w:rFonts w:ascii="Calibri" w:cs="Calibri" w:eastAsia="Calibri" w:hAnsi="Calibri"/>
                <w:sz w:val="20"/>
                <w:szCs w:val="20"/>
              </w:rPr>
              <w:t xml:space="preserve">Infrastructure</w:t>
            </w:r>
          </w:p>
        </w:tc>
        <w:tc>
          <w:tcPr>
            <w:tcW w:type="dxa" w:w="3600"/>
          </w:tcPr>
          <w:p>
            <w:r>
              <w:rPr>
                <w:rFonts w:ascii="Calibri" w:cs="Calibri" w:eastAsia="Calibri" w:hAnsi="Calibri"/>
                <w:sz w:val="20"/>
                <w:szCs w:val="20"/>
              </w:rPr>
              <w:t xml:space="preserve">File readers, report serializers/writers, config loading, logging setup</w:t>
            </w:r>
          </w:p>
        </w:tc>
        <w:tc>
          <w:tcPr>
            <w:tcW w:type="dxa" w:w="2400"/>
          </w:tcPr>
          <w:p>
            <w:r>
              <w:rPr>
                <w:rFonts w:ascii="Calibri" w:cs="Calibri" w:eastAsia="Calibri" w:hAnsi="Calibri"/>
                <w:sz w:val="20"/>
                <w:szCs w:val="20"/>
              </w:rPr>
              <w:t xml:space="preserve">Domain interfaces it implements</w:t>
            </w:r>
          </w:p>
        </w:tc>
        <w:tc>
          <w:tcPr>
            <w:tcW w:type="dxa" w:w="1200"/>
          </w:tcPr>
          <w:p>
            <w:r>
              <w:rPr>
                <w:rFonts w:ascii="Calibri" w:cs="Calibri" w:eastAsia="Calibri" w:hAnsi="Calibri"/>
                <w:sz w:val="20"/>
                <w:szCs w:val="20"/>
              </w:rPr>
              <w:t xml:space="preserve">Yes</w:t>
            </w:r>
          </w:p>
        </w:tc>
      </w:tr>
    </w:tbl>
    <w:p>
      <w:pPr>
        <w:spacing w:after="150"/>
      </w:pPr>
      <w:r>
        <w:rPr>
          <w:rFonts w:ascii="Calibri" w:cs="Calibri" w:eastAsia="Calibri" w:hAnsi="Calibri"/>
        </w:rPr>
        <w:t xml:space="preserve">This mirrors a Clean/Hexagonal Architecture style: the domain layer defines the ports (interfaces such as Detector, QualityCheck, ReportSerializer); infrastructure supplies the adapters. This keeps scientific/structural logic (what the SRS actually specifies) decoupled from mechanical concerns (how files are read or reports are written), satisfying the instruction to separate domain logic from infrastructure concerns.</w:t>
      </w:r>
    </w:p>
    <w:p>
      <w:pPr>
        <w:pStyle w:val="Heading1"/>
        <w:spacing w:after="200" w:before="400"/>
      </w:pPr>
      <w:r>
        <w:t xml:space="preserve">4. High-Level Package / Folder Structure</w:t>
      </w:r>
    </w:p>
    <w:p>
      <w:pPr>
        <w:pBdr>
          <w:top w:val="single" w:color="CCCCCC" w:sz="4"/>
          <w:bottom w:val="single" w:color="CCCCCC" w:sz="4"/>
        </w:pBdr>
        <w:shd w:fill="F2F2F2" w:val="clear"/>
        <w:spacing w:after="200"/>
      </w:pPr>
      <w:r>
        <w:rPr>
          <w:rFonts w:ascii="Consolas" w:cs="Consolas" w:eastAsia="Consolas" w:hAnsi="Consolas"/>
          <w:sz w:val="18"/>
          <w:szCs w:val="18"/>
        </w:rPr>
        <w:t xml:space="preserve">phenopred/</w:t>
      </w:r>
      <w:r>
        <w:rPr>
          <w:rFonts w:ascii="Consolas" w:cs="Consolas" w:eastAsia="Consolas" w:hAnsi="Consolas"/>
          <w:sz w:val="18"/>
          <w:szCs w:val="18"/>
        </w:rPr>
        <w:br/>
        <w:t xml:space="preserve">├── cli/</w:t>
      </w:r>
      <w:r>
        <w:rPr>
          <w:rFonts w:ascii="Consolas" w:cs="Consolas" w:eastAsia="Consolas" w:hAnsi="Consolas"/>
          <w:sz w:val="18"/>
          <w:szCs w:val="18"/>
        </w:rPr>
        <w:br/>
        <w:t xml:space="preserve">│   └── main.py                      # entrypoint, argument parsing</w:t>
      </w:r>
      <w:r>
        <w:rPr>
          <w:rFonts w:ascii="Consolas" w:cs="Consolas" w:eastAsia="Consolas" w:hAnsi="Consolas"/>
          <w:sz w:val="18"/>
          <w:szCs w:val="18"/>
        </w:rPr>
        <w:br/>
        <w:t xml:space="preserve">├── application/</w:t>
      </w:r>
      <w:r>
        <w:rPr>
          <w:rFonts w:ascii="Consolas" w:cs="Consolas" w:eastAsia="Consolas" w:hAnsi="Consolas"/>
          <w:sz w:val="18"/>
          <w:szCs w:val="18"/>
        </w:rPr>
        <w:br/>
        <w:t xml:space="preserve">│   ├── profile_file_use_case.py     # orchestrates one file end-to-end</w:t>
      </w:r>
      <w:r>
        <w:rPr>
          <w:rFonts w:ascii="Consolas" w:cs="Consolas" w:eastAsia="Consolas" w:hAnsi="Consolas"/>
          <w:sz w:val="18"/>
          <w:szCs w:val="18"/>
        </w:rPr>
        <w:br/>
        <w:t xml:space="preserve">│   └── composition_root.py          # wires domain + infrastructure implementations</w:t>
      </w:r>
      <w:r>
        <w:rPr>
          <w:rFonts w:ascii="Consolas" w:cs="Consolas" w:eastAsia="Consolas" w:hAnsi="Consolas"/>
          <w:sz w:val="18"/>
          <w:szCs w:val="18"/>
        </w:rPr>
        <w:br/>
        <w:t xml:space="preserve">├── domain/</w:t>
      </w:r>
      <w:r>
        <w:rPr>
          <w:rFonts w:ascii="Consolas" w:cs="Consolas" w:eastAsia="Consolas" w:hAnsi="Consolas"/>
          <w:sz w:val="18"/>
          <w:szCs w:val="18"/>
        </w:rPr>
        <w:br/>
        <w:t xml:space="preserve">│   ├── entities.py                  # GenotypeFile, DataRow, ProfilingReport, ...</w:t>
      </w:r>
      <w:r>
        <w:rPr>
          <w:rFonts w:ascii="Consolas" w:cs="Consolas" w:eastAsia="Consolas" w:hAnsi="Consolas"/>
          <w:sz w:val="18"/>
          <w:szCs w:val="18"/>
        </w:rPr>
        <w:br/>
        <w:t xml:space="preserve">│   ├── value_objects.py             # Delimiter, EncodingProfile, ColumnLayout, ...</w:t>
      </w:r>
      <w:r>
        <w:rPr>
          <w:rFonts w:ascii="Consolas" w:cs="Consolas" w:eastAsia="Consolas" w:hAnsi="Consolas"/>
          <w:sz w:val="18"/>
          <w:szCs w:val="18"/>
        </w:rPr>
        <w:br/>
        <w:t xml:space="preserve">│   ├── interfaces.py                # Detector, QualityCheck, GenomicProfiler,</w:t>
      </w:r>
      <w:r>
        <w:rPr>
          <w:rFonts w:ascii="Consolas" w:cs="Consolas" w:eastAsia="Consolas" w:hAnsi="Consolas"/>
          <w:sz w:val="18"/>
          <w:szCs w:val="18"/>
        </w:rPr>
        <w:br/>
        <w:t xml:space="preserve">│   │                                 #   ReportSerializer protocols (ports)</w:t>
      </w:r>
      <w:r>
        <w:rPr>
          <w:rFonts w:ascii="Consolas" w:cs="Consolas" w:eastAsia="Consolas" w:hAnsi="Consolas"/>
          <w:sz w:val="18"/>
          <w:szCs w:val="18"/>
        </w:rPr>
        <w:br/>
        <w:t xml:space="preserve">│   ├── ingestion/</w:t>
      </w:r>
      <w:r>
        <w:rPr>
          <w:rFonts w:ascii="Consolas" w:cs="Consolas" w:eastAsia="Consolas" w:hAnsi="Consolas"/>
          <w:sz w:val="18"/>
          <w:szCs w:val="18"/>
        </w:rPr>
        <w:br/>
        <w:t xml:space="preserve">│   │   ├── raw_line_splitter.py     # comment/data separation (FR-1)</w:t>
      </w:r>
      <w:r>
        <w:rPr>
          <w:rFonts w:ascii="Consolas" w:cs="Consolas" w:eastAsia="Consolas" w:hAnsi="Consolas"/>
          <w:sz w:val="18"/>
          <w:szCs w:val="18"/>
        </w:rPr>
        <w:br/>
        <w:t xml:space="preserve">│   │   └── row_parser.py            # delimiter-based field split (FR-4)</w:t>
      </w:r>
      <w:r>
        <w:rPr>
          <w:rFonts w:ascii="Consolas" w:cs="Consolas" w:eastAsia="Consolas" w:hAnsi="Consolas"/>
          <w:sz w:val="18"/>
          <w:szCs w:val="18"/>
        </w:rPr>
        <w:br/>
        <w:t xml:space="preserve">│   ├── detection/</w:t>
      </w:r>
      <w:r>
        <w:rPr>
          <w:rFonts w:ascii="Consolas" w:cs="Consolas" w:eastAsia="Consolas" w:hAnsi="Consolas"/>
          <w:sz w:val="18"/>
          <w:szCs w:val="18"/>
        </w:rPr>
        <w:br/>
        <w:t xml:space="preserve">│   │   ├── encoding_detector.py     # FR-13</w:t>
      </w:r>
      <w:r>
        <w:rPr>
          <w:rFonts w:ascii="Consolas" w:cs="Consolas" w:eastAsia="Consolas" w:hAnsi="Consolas"/>
          <w:sz w:val="18"/>
          <w:szCs w:val="18"/>
        </w:rPr>
        <w:br/>
        <w:t xml:space="preserve">│   │   ├── delimiter_detector.py    # FR-2</w:t>
      </w:r>
      <w:r>
        <w:rPr>
          <w:rFonts w:ascii="Consolas" w:cs="Consolas" w:eastAsia="Consolas" w:hAnsi="Consolas"/>
          <w:sz w:val="18"/>
          <w:szCs w:val="18"/>
        </w:rPr>
        <w:br/>
        <w:t xml:space="preserve">│   │   └── header_resolver.py       # FR-3</w:t>
      </w:r>
      <w:r>
        <w:rPr>
          <w:rFonts w:ascii="Consolas" w:cs="Consolas" w:eastAsia="Consolas" w:hAnsi="Consolas"/>
          <w:sz w:val="18"/>
          <w:szCs w:val="18"/>
        </w:rPr>
        <w:br/>
        <w:t xml:space="preserve">│   ├── quality_checks/</w:t>
      </w:r>
      <w:r>
        <w:rPr>
          <w:rFonts w:ascii="Consolas" w:cs="Consolas" w:eastAsia="Consolas" w:hAnsi="Consolas"/>
          <w:sz w:val="18"/>
          <w:szCs w:val="18"/>
        </w:rPr>
        <w:br/>
        <w:t xml:space="preserve">│   │   ├── duplicate_header_check.py       # FR-7</w:t>
      </w:r>
      <w:r>
        <w:rPr>
          <w:rFonts w:ascii="Consolas" w:cs="Consolas" w:eastAsia="Consolas" w:hAnsi="Consolas"/>
          <w:sz w:val="18"/>
          <w:szCs w:val="18"/>
        </w:rPr>
        <w:br/>
        <w:t xml:space="preserve">│   │   ├── malformed_row_check.py          # FR-5</w:t>
      </w:r>
      <w:r>
        <w:rPr>
          <w:rFonts w:ascii="Consolas" w:cs="Consolas" w:eastAsia="Consolas" w:hAnsi="Consolas"/>
          <w:sz w:val="18"/>
          <w:szCs w:val="18"/>
        </w:rPr>
        <w:br/>
        <w:t xml:space="preserve">│   │   ├── missing_value_scanner.py         # FR-6</w:t>
      </w:r>
      <w:r>
        <w:rPr>
          <w:rFonts w:ascii="Consolas" w:cs="Consolas" w:eastAsia="Consolas" w:hAnsi="Consolas"/>
          <w:sz w:val="18"/>
          <w:szCs w:val="18"/>
        </w:rPr>
        <w:br/>
        <w:t xml:space="preserve">│   │   ├── duplicate_rsid_check.py          # FR-8</w:t>
      </w:r>
      <w:r>
        <w:rPr>
          <w:rFonts w:ascii="Consolas" w:cs="Consolas" w:eastAsia="Consolas" w:hAnsi="Consolas"/>
          <w:sz w:val="18"/>
          <w:szCs w:val="18"/>
        </w:rPr>
        <w:br/>
        <w:t xml:space="preserve">│   │   └── duplicate_chr_pos_check.py       # FR-9</w:t>
      </w:r>
      <w:r>
        <w:rPr>
          <w:rFonts w:ascii="Consolas" w:cs="Consolas" w:eastAsia="Consolas" w:hAnsi="Consolas"/>
          <w:sz w:val="18"/>
          <w:szCs w:val="18"/>
        </w:rPr>
        <w:br/>
        <w:t xml:space="preserve">│   ├── genomic_profiling/</w:t>
      </w:r>
      <w:r>
        <w:rPr>
          <w:rFonts w:ascii="Consolas" w:cs="Consolas" w:eastAsia="Consolas" w:hAnsi="Consolas"/>
          <w:sz w:val="18"/>
          <w:szCs w:val="18"/>
        </w:rPr>
        <w:br/>
        <w:t xml:space="preserve">│   │   ├── chromosome_label_profiler.py     # FR-10</w:t>
      </w:r>
      <w:r>
        <w:rPr>
          <w:rFonts w:ascii="Consolas" w:cs="Consolas" w:eastAsia="Consolas" w:hAnsi="Consolas"/>
          <w:sz w:val="18"/>
          <w:szCs w:val="18"/>
        </w:rPr>
        <w:br/>
        <w:t xml:space="preserve">│   │   ├── genotype_layout_classifier.py    # FR-11</w:t>
      </w:r>
      <w:r>
        <w:rPr>
          <w:rFonts w:ascii="Consolas" w:cs="Consolas" w:eastAsia="Consolas" w:hAnsi="Consolas"/>
          <w:sz w:val="18"/>
          <w:szCs w:val="18"/>
        </w:rPr>
        <w:br/>
        <w:t xml:space="preserve">│   │   └── indel_haploid_classifier.py      # FR-12</w:t>
      </w:r>
      <w:r>
        <w:rPr>
          <w:rFonts w:ascii="Consolas" w:cs="Consolas" w:eastAsia="Consolas" w:hAnsi="Consolas"/>
          <w:sz w:val="18"/>
          <w:szCs w:val="18"/>
        </w:rPr>
        <w:br/>
        <w:t xml:space="preserve">│   └── reporting/</w:t>
      </w:r>
      <w:r>
        <w:rPr>
          <w:rFonts w:ascii="Consolas" w:cs="Consolas" w:eastAsia="Consolas" w:hAnsi="Consolas"/>
          <w:sz w:val="18"/>
          <w:szCs w:val="18"/>
        </w:rPr>
        <w:br/>
        <w:t xml:space="preserve">│       ├── report_builder.py        # assembles ProfilingReport (OUT-1..OUT-9)</w:t>
      </w:r>
      <w:r>
        <w:rPr>
          <w:rFonts w:ascii="Consolas" w:cs="Consolas" w:eastAsia="Consolas" w:hAnsi="Consolas"/>
          <w:sz w:val="18"/>
          <w:szCs w:val="18"/>
        </w:rPr>
        <w:br/>
        <w:t xml:space="preserve">│       └── open_question_registry.py # OUT-9 / OBJ-5</w:t>
      </w:r>
      <w:r>
        <w:rPr>
          <w:rFonts w:ascii="Consolas" w:cs="Consolas" w:eastAsia="Consolas" w:hAnsi="Consolas"/>
          <w:sz w:val="18"/>
          <w:szCs w:val="18"/>
        </w:rPr>
        <w:br/>
        <w:t xml:space="preserve">├── infrastructure/</w:t>
      </w:r>
      <w:r>
        <w:rPr>
          <w:rFonts w:ascii="Consolas" w:cs="Consolas" w:eastAsia="Consolas" w:hAnsi="Consolas"/>
          <w:sz w:val="18"/>
          <w:szCs w:val="18"/>
        </w:rPr>
        <w:br/>
        <w:t xml:space="preserve">│   ├── io/</w:t>
      </w:r>
      <w:r>
        <w:rPr>
          <w:rFonts w:ascii="Consolas" w:cs="Consolas" w:eastAsia="Consolas" w:hAnsi="Consolas"/>
          <w:sz w:val="18"/>
          <w:szCs w:val="18"/>
        </w:rPr>
        <w:br/>
        <w:t xml:space="preserve">│   │   ├── raw_file_loader.py       # read-only line loader</w:t>
      </w:r>
      <w:r>
        <w:rPr>
          <w:rFonts w:ascii="Consolas" w:cs="Consolas" w:eastAsia="Consolas" w:hAnsi="Consolas"/>
          <w:sz w:val="18"/>
          <w:szCs w:val="18"/>
        </w:rPr>
        <w:br/>
        <w:t xml:space="preserve">│   │   └── report_writer.py         # ReportSerializer implementation(s)</w:t>
      </w:r>
      <w:r>
        <w:rPr>
          <w:rFonts w:ascii="Consolas" w:cs="Consolas" w:eastAsia="Consolas" w:hAnsi="Consolas"/>
          <w:sz w:val="18"/>
          <w:szCs w:val="18"/>
        </w:rPr>
        <w:br/>
        <w:t xml:space="preserve">│   ├── config/</w:t>
      </w:r>
      <w:r>
        <w:rPr>
          <w:rFonts w:ascii="Consolas" w:cs="Consolas" w:eastAsia="Consolas" w:hAnsi="Consolas"/>
          <w:sz w:val="18"/>
          <w:szCs w:val="18"/>
        </w:rPr>
        <w:br/>
        <w:t xml:space="preserve">│   │   └── config_loader.py</w:t>
      </w:r>
      <w:r>
        <w:rPr>
          <w:rFonts w:ascii="Consolas" w:cs="Consolas" w:eastAsia="Consolas" w:hAnsi="Consolas"/>
          <w:sz w:val="18"/>
          <w:szCs w:val="18"/>
        </w:rPr>
        <w:br/>
        <w:t xml:space="preserve">│   └── logging/</w:t>
      </w:r>
      <w:r>
        <w:rPr>
          <w:rFonts w:ascii="Consolas" w:cs="Consolas" w:eastAsia="Consolas" w:hAnsi="Consolas"/>
          <w:sz w:val="18"/>
          <w:szCs w:val="18"/>
        </w:rPr>
        <w:br/>
        <w:t xml:space="preserve">│       └── logger_setup.py</w:t>
      </w:r>
      <w:r>
        <w:rPr>
          <w:rFonts w:ascii="Consolas" w:cs="Consolas" w:eastAsia="Consolas" w:hAnsi="Consolas"/>
          <w:sz w:val="18"/>
          <w:szCs w:val="18"/>
        </w:rPr>
        <w:br/>
        <w:t xml:space="preserve">└── tests/</w:t>
      </w:r>
      <w:r>
        <w:rPr>
          <w:rFonts w:ascii="Consolas" w:cs="Consolas" w:eastAsia="Consolas" w:hAnsi="Consolas"/>
          <w:sz w:val="18"/>
          <w:szCs w:val="18"/>
        </w:rPr>
        <w:br/>
        <w:t xml:space="preserve">    ├── unit/            # mirrors domain/ package-for-package</w:t>
      </w:r>
      <w:r>
        <w:rPr>
          <w:rFonts w:ascii="Consolas" w:cs="Consolas" w:eastAsia="Consolas" w:hAnsi="Consolas"/>
          <w:sz w:val="18"/>
          <w:szCs w:val="18"/>
        </w:rPr>
        <w:br/>
        <w:t xml:space="preserve">    ├── integration/     # full pipeline against fixture files</w:t>
      </w:r>
      <w:r>
        <w:rPr>
          <w:rFonts w:ascii="Consolas" w:cs="Consolas" w:eastAsia="Consolas" w:hAnsi="Consolas"/>
          <w:sz w:val="18"/>
          <w:szCs w:val="18"/>
        </w:rPr>
        <w:br/>
        <w:t xml:space="preserve">    └── fixtures/        # synthetic files reproducing structural properties</w:t>
      </w:r>
    </w:p>
    <w:p>
      <w:pPr>
        <w:pBdr>
          <w:left w:val="single" w:color="D9822B" w:sz="12" w:space="4"/>
        </w:pBdr>
        <w:shd w:fill="FDF3E7" w:val="clear"/>
        <w:spacing w:after="150"/>
        <w:ind w:left="215"/>
      </w:pPr>
      <w:r>
        <w:rPr>
          <w:rFonts w:ascii="Calibri" w:cs="Calibri" w:eastAsia="Calibri" w:hAnsi="Calibri"/>
          <w:b/>
          <w:bCs/>
          <w:color w:val="9C5100"/>
        </w:rPr>
        <w:t xml:space="preserve">ASSUMPTION (not derived from SRS/EDA): </w:t>
      </w:r>
      <w:r>
        <w:rPr>
          <w:rFonts w:ascii="Calibri" w:cs="Calibri" w:eastAsia="Calibri" w:hAnsi="Calibri"/>
          <w:i/>
          <w:iCs/>
        </w:rPr>
        <w:t xml:space="preserve">The concrete package/module names above (e.g. "phenopred", exact file names) are an architectural proposal, not a requirement — the SRS deliberately does not specify implementation technology or file organization (Section 11, last bullet). The structure is chosen to satisfy SOLID and separation-of-concerns instructions while remaining a plain, unsurprising Python package layout.</w:t>
      </w:r>
    </w:p>
    <w:p>
      <w:pPr>
        <w:pStyle w:val="Heading1"/>
        <w:spacing w:after="200" w:before="400"/>
      </w:pPr>
      <w:r>
        <w:t xml:space="preserve">5. Responsibilities of Every Package /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496" w:val="clear"/>
          </w:tcPr>
          <w:p>
            <w:r>
              <w:rPr>
                <w:rFonts w:ascii="Calibri" w:cs="Calibri" w:eastAsia="Calibri" w:hAnsi="Calibri"/>
                <w:b/>
                <w:bCs/>
                <w:color w:val="FFFFFF"/>
                <w:sz w:val="20"/>
                <w:szCs w:val="20"/>
              </w:rPr>
              <w:t xml:space="preserve">Module</w:t>
            </w:r>
          </w:p>
        </w:tc>
        <w:tc>
          <w:tcPr>
            <w:tcW w:type="dxa" w:w="6400"/>
            <w:shd w:fill="2F5496" w:val="clear"/>
          </w:tcPr>
          <w:p>
            <w:r>
              <w:rPr>
                <w:rFonts w:ascii="Calibri" w:cs="Calibri" w:eastAsia="Calibri" w:hAnsi="Calibri"/>
                <w:b/>
                <w:bCs/>
                <w:color w:val="FFFFFF"/>
                <w:sz w:val="20"/>
                <w:szCs w:val="20"/>
              </w:rPr>
              <w:t xml:space="preserve">Responsibility</w:t>
            </w:r>
          </w:p>
        </w:tc>
      </w:tr>
      <w:tr>
        <w:tc>
          <w:tcPr>
            <w:tcW w:type="dxa" w:w="2600"/>
          </w:tcPr>
          <w:p>
            <w:r>
              <w:rPr>
                <w:rFonts w:ascii="Calibri" w:cs="Calibri" w:eastAsia="Calibri" w:hAnsi="Calibri"/>
                <w:sz w:val="20"/>
                <w:szCs w:val="20"/>
              </w:rPr>
              <w:t xml:space="preserve">cli/main.py</w:t>
            </w:r>
          </w:p>
        </w:tc>
        <w:tc>
          <w:tcPr>
            <w:tcW w:type="dxa" w:w="6400"/>
          </w:tcPr>
          <w:p>
            <w:r>
              <w:rPr>
                <w:rFonts w:ascii="Calibri" w:cs="Calibri" w:eastAsia="Calibri" w:hAnsi="Calibri"/>
                <w:sz w:val="20"/>
                <w:szCs w:val="20"/>
              </w:rPr>
              <w:t xml:space="preserve">Parses command-line arguments (input file path(s), optional config path); invokes the composition root and one ProfileFileUseCase per input file; translates domain/infra exceptions into process exit codes and user-facing messages. Contains no business logic.</w:t>
            </w:r>
          </w:p>
        </w:tc>
      </w:tr>
      <w:tr>
        <w:tc>
          <w:tcPr>
            <w:tcW w:type="dxa" w:w="2600"/>
          </w:tcPr>
          <w:p>
            <w:r>
              <w:rPr>
                <w:rFonts w:ascii="Calibri" w:cs="Calibri" w:eastAsia="Calibri" w:hAnsi="Calibri"/>
                <w:sz w:val="20"/>
                <w:szCs w:val="20"/>
              </w:rPr>
              <w:t xml:space="preserve">application/profile_file_use_case.py</w:t>
            </w:r>
          </w:p>
        </w:tc>
        <w:tc>
          <w:tcPr>
            <w:tcW w:type="dxa" w:w="6400"/>
          </w:tcPr>
          <w:p>
            <w:r>
              <w:rPr>
                <w:rFonts w:ascii="Calibri" w:cs="Calibri" w:eastAsia="Calibri" w:hAnsi="Calibri"/>
                <w:sz w:val="20"/>
                <w:szCs w:val="20"/>
              </w:rPr>
              <w:t xml:space="preserve">Sequences the pipeline for exactly one file: load → split comments/data → detect format → resolve header → parse rows → run quality checks → run genomic profiling → build report → serialize. Depends only on domain interfaces, receives concrete implementations via constructor injection.</w:t>
            </w:r>
          </w:p>
        </w:tc>
      </w:tr>
      <w:tr>
        <w:tc>
          <w:tcPr>
            <w:tcW w:type="dxa" w:w="2600"/>
          </w:tcPr>
          <w:p>
            <w:r>
              <w:rPr>
                <w:rFonts w:ascii="Calibri" w:cs="Calibri" w:eastAsia="Calibri" w:hAnsi="Calibri"/>
                <w:sz w:val="20"/>
                <w:szCs w:val="20"/>
              </w:rPr>
              <w:t xml:space="preserve">application/composition_root.py</w:t>
            </w:r>
          </w:p>
        </w:tc>
        <w:tc>
          <w:tcPr>
            <w:tcW w:type="dxa" w:w="6400"/>
          </w:tcPr>
          <w:p>
            <w:r>
              <w:rPr>
                <w:rFonts w:ascii="Calibri" w:cs="Calibri" w:eastAsia="Calibri" w:hAnsi="Calibri"/>
                <w:sz w:val="20"/>
                <w:szCs w:val="20"/>
              </w:rPr>
              <w:t xml:space="preserve">The single place where concrete infrastructure implementations (e.g. a JSON ReportSerializer) are bound to domain interfaces. Isolates wiring so no other module needs to know concrete classes.</w:t>
            </w:r>
          </w:p>
        </w:tc>
      </w:tr>
      <w:tr>
        <w:tc>
          <w:tcPr>
            <w:tcW w:type="dxa" w:w="2600"/>
          </w:tcPr>
          <w:p>
            <w:r>
              <w:rPr>
                <w:rFonts w:ascii="Calibri" w:cs="Calibri" w:eastAsia="Calibri" w:hAnsi="Calibri"/>
                <w:sz w:val="20"/>
                <w:szCs w:val="20"/>
              </w:rPr>
              <w:t xml:space="preserve">domain/entities.py</w:t>
            </w:r>
          </w:p>
        </w:tc>
        <w:tc>
          <w:tcPr>
            <w:tcW w:type="dxa" w:w="6400"/>
          </w:tcPr>
          <w:p>
            <w:r>
              <w:rPr>
                <w:rFonts w:ascii="Calibri" w:cs="Calibri" w:eastAsia="Calibri" w:hAnsi="Calibri"/>
                <w:sz w:val="20"/>
                <w:szCs w:val="20"/>
              </w:rPr>
              <w:t xml:space="preserve">Defines the core data-carrying objects (see Section 8) as immutable value objects/dataclasses. No behavior beyond simple invariants (e.g. a DataRow cannot be constructed with a negative line number).</w:t>
            </w:r>
          </w:p>
        </w:tc>
      </w:tr>
      <w:tr>
        <w:tc>
          <w:tcPr>
            <w:tcW w:type="dxa" w:w="2600"/>
          </w:tcPr>
          <w:p>
            <w:r>
              <w:rPr>
                <w:rFonts w:ascii="Calibri" w:cs="Calibri" w:eastAsia="Calibri" w:hAnsi="Calibri"/>
                <w:sz w:val="20"/>
                <w:szCs w:val="20"/>
              </w:rPr>
              <w:t xml:space="preserve">domain/value_objects.py</w:t>
            </w:r>
          </w:p>
        </w:tc>
        <w:tc>
          <w:tcPr>
            <w:tcW w:type="dxa" w:w="6400"/>
          </w:tcPr>
          <w:p>
            <w:r>
              <w:rPr>
                <w:rFonts w:ascii="Calibri" w:cs="Calibri" w:eastAsia="Calibri" w:hAnsi="Calibri"/>
                <w:sz w:val="20"/>
                <w:szCs w:val="20"/>
              </w:rPr>
              <w:t xml:space="preserve">Small, immutable descriptors: Delimiter, EncodingProfile, ColumnLayout, ChromosomeLabelCount, GenotypeLengthDistribution, MissingValueToken.</w:t>
            </w:r>
          </w:p>
        </w:tc>
      </w:tr>
      <w:tr>
        <w:tc>
          <w:tcPr>
            <w:tcW w:type="dxa" w:w="2600"/>
          </w:tcPr>
          <w:p>
            <w:r>
              <w:rPr>
                <w:rFonts w:ascii="Calibri" w:cs="Calibri" w:eastAsia="Calibri" w:hAnsi="Calibri"/>
                <w:sz w:val="20"/>
                <w:szCs w:val="20"/>
              </w:rPr>
              <w:t xml:space="preserve">domain/interfaces.py</w:t>
            </w:r>
          </w:p>
        </w:tc>
        <w:tc>
          <w:tcPr>
            <w:tcW w:type="dxa" w:w="6400"/>
          </w:tcPr>
          <w:p>
            <w:r>
              <w:rPr>
                <w:rFonts w:ascii="Calibri" w:cs="Calibri" w:eastAsia="Calibri" w:hAnsi="Calibri"/>
                <w:sz w:val="20"/>
                <w:szCs w:val="20"/>
              </w:rPr>
              <w:t xml:space="preserve">Protocol/ABC definitions that decouple the orchestrator from concrete detectors, checks, profilers, and serializers, enabling substitution and unit testing via fakes.</w:t>
            </w:r>
          </w:p>
        </w:tc>
      </w:tr>
      <w:tr>
        <w:tc>
          <w:tcPr>
            <w:tcW w:type="dxa" w:w="2600"/>
          </w:tcPr>
          <w:p>
            <w:r>
              <w:rPr>
                <w:rFonts w:ascii="Calibri" w:cs="Calibri" w:eastAsia="Calibri" w:hAnsi="Calibri"/>
                <w:sz w:val="20"/>
                <w:szCs w:val="20"/>
              </w:rPr>
              <w:t xml:space="preserve">domain/ingestion/raw_line_splitter.py</w:t>
            </w:r>
          </w:p>
        </w:tc>
        <w:tc>
          <w:tcPr>
            <w:tcW w:type="dxa" w:w="6400"/>
          </w:tcPr>
          <w:p>
            <w:r>
              <w:rPr>
                <w:rFonts w:ascii="Calibri" w:cs="Calibri" w:eastAsia="Calibri" w:hAnsi="Calibri"/>
                <w:sz w:val="20"/>
                <w:szCs w:val="20"/>
              </w:rPr>
              <w:t xml:space="preserve">Implements FR-1: separates comment lines (configurable prefix, default '#') from data lines without discarding either.</w:t>
            </w:r>
          </w:p>
        </w:tc>
      </w:tr>
      <w:tr>
        <w:tc>
          <w:tcPr>
            <w:tcW w:type="dxa" w:w="2600"/>
          </w:tcPr>
          <w:p>
            <w:r>
              <w:rPr>
                <w:rFonts w:ascii="Calibri" w:cs="Calibri" w:eastAsia="Calibri" w:hAnsi="Calibri"/>
                <w:sz w:val="20"/>
                <w:szCs w:val="20"/>
              </w:rPr>
              <w:t xml:space="preserve">domain/ingestion/row_parser.py</w:t>
            </w:r>
          </w:p>
        </w:tc>
        <w:tc>
          <w:tcPr>
            <w:tcW w:type="dxa" w:w="6400"/>
          </w:tcPr>
          <w:p>
            <w:r>
              <w:rPr>
                <w:rFonts w:ascii="Calibri" w:cs="Calibri" w:eastAsia="Calibri" w:hAnsi="Calibri"/>
                <w:sz w:val="20"/>
                <w:szCs w:val="20"/>
              </w:rPr>
              <w:t xml:space="preserve">Implements FR-4: splits each data line into fields using the delimiter supplied by delimiter_detector, without casting or trimming values.</w:t>
            </w:r>
          </w:p>
        </w:tc>
      </w:tr>
      <w:tr>
        <w:tc>
          <w:tcPr>
            <w:tcW w:type="dxa" w:w="2600"/>
          </w:tcPr>
          <w:p>
            <w:r>
              <w:rPr>
                <w:rFonts w:ascii="Calibri" w:cs="Calibri" w:eastAsia="Calibri" w:hAnsi="Calibri"/>
                <w:sz w:val="20"/>
                <w:szCs w:val="20"/>
              </w:rPr>
              <w:t xml:space="preserve">domain/detection/encoding_detector.py</w:t>
            </w:r>
          </w:p>
        </w:tc>
        <w:tc>
          <w:tcPr>
            <w:tcW w:type="dxa" w:w="6400"/>
          </w:tcPr>
          <w:p>
            <w:r>
              <w:rPr>
                <w:rFonts w:ascii="Calibri" w:cs="Calibri" w:eastAsia="Calibri" w:hAnsi="Calibri"/>
                <w:sz w:val="20"/>
                <w:szCs w:val="20"/>
              </w:rPr>
              <w:t xml:space="preserve">Implements FR-13: reports BOM presence and decodability under ASCII/UTF-8/UTF-8-sig/Latin-1 for a byte sample, mirroring notebook Section 3.2.</w:t>
            </w:r>
          </w:p>
        </w:tc>
      </w:tr>
      <w:tr>
        <w:tc>
          <w:tcPr>
            <w:tcW w:type="dxa" w:w="2600"/>
          </w:tcPr>
          <w:p>
            <w:r>
              <w:rPr>
                <w:rFonts w:ascii="Calibri" w:cs="Calibri" w:eastAsia="Calibri" w:hAnsi="Calibri"/>
                <w:sz w:val="20"/>
                <w:szCs w:val="20"/>
              </w:rPr>
              <w:t xml:space="preserve">domain/detection/delimiter_detector.py</w:t>
            </w:r>
          </w:p>
        </w:tc>
        <w:tc>
          <w:tcPr>
            <w:tcW w:type="dxa" w:w="6400"/>
          </w:tcPr>
          <w:p>
            <w:r>
              <w:rPr>
                <w:rFonts w:ascii="Calibri" w:cs="Calibri" w:eastAsia="Calibri" w:hAnsi="Calibri"/>
                <w:sz w:val="20"/>
                <w:szCs w:val="20"/>
              </w:rPr>
              <w:t xml:space="preserve">Implements FR-2: detects the field delimiter empirically per file (e.g. via character-frequency analysis over a sample of data lines), never assuming tab.</w:t>
            </w:r>
          </w:p>
        </w:tc>
      </w:tr>
      <w:tr>
        <w:tc>
          <w:tcPr>
            <w:tcW w:type="dxa" w:w="2600"/>
          </w:tcPr>
          <w:p>
            <w:r>
              <w:rPr>
                <w:rFonts w:ascii="Calibri" w:cs="Calibri" w:eastAsia="Calibri" w:hAnsi="Calibri"/>
                <w:sz w:val="20"/>
                <w:szCs w:val="20"/>
              </w:rPr>
              <w:t xml:space="preserve">domain/detection/header_resolver.py</w:t>
            </w:r>
          </w:p>
        </w:tc>
        <w:tc>
          <w:tcPr>
            <w:tcW w:type="dxa" w:w="6400"/>
          </w:tcPr>
          <w:p>
            <w:r>
              <w:rPr>
                <w:rFonts w:ascii="Calibri" w:cs="Calibri" w:eastAsia="Calibri" w:hAnsi="Calibri"/>
                <w:sz w:val="20"/>
                <w:szCs w:val="20"/>
              </w:rPr>
              <w:t xml:space="preserve">Implements FR-3: determines whether the first non-comment line is an uncommented header row, or whether a header is documented only inside a comment line, or absent; resolves the working column-name list for the file.</w:t>
            </w:r>
          </w:p>
        </w:tc>
      </w:tr>
      <w:tr>
        <w:tc>
          <w:tcPr>
            <w:tcW w:type="dxa" w:w="2600"/>
          </w:tcPr>
          <w:p>
            <w:r>
              <w:rPr>
                <w:rFonts w:ascii="Calibri" w:cs="Calibri" w:eastAsia="Calibri" w:hAnsi="Calibri"/>
                <w:sz w:val="20"/>
                <w:szCs w:val="20"/>
              </w:rPr>
              <w:t xml:space="preserve">domain/quality_checks/*</w:t>
            </w:r>
          </w:p>
        </w:tc>
        <w:tc>
          <w:tcPr>
            <w:tcW w:type="dxa" w:w="6400"/>
          </w:tcPr>
          <w:p>
            <w:r>
              <w:rPr>
                <w:rFonts w:ascii="Calibri" w:cs="Calibri" w:eastAsia="Calibri" w:hAnsi="Calibri"/>
                <w:sz w:val="20"/>
                <w:szCs w:val="20"/>
              </w:rPr>
              <w:t xml:space="preserve">One class per SRS data-quality requirement (FR-5 to FR-9), each implementing the QualityCheck interface: given parsed rows (and header/column context), return a Finding value object. Each check is independent and stateless across files.</w:t>
            </w:r>
          </w:p>
        </w:tc>
      </w:tr>
      <w:tr>
        <w:tc>
          <w:tcPr>
            <w:tcW w:type="dxa" w:w="2600"/>
          </w:tcPr>
          <w:p>
            <w:r>
              <w:rPr>
                <w:rFonts w:ascii="Calibri" w:cs="Calibri" w:eastAsia="Calibri" w:hAnsi="Calibri"/>
                <w:sz w:val="20"/>
                <w:szCs w:val="20"/>
              </w:rPr>
              <w:t xml:space="preserve">domain/genomic_profiling/*</w:t>
            </w:r>
          </w:p>
        </w:tc>
        <w:tc>
          <w:tcPr>
            <w:tcW w:type="dxa" w:w="6400"/>
          </w:tcPr>
          <w:p>
            <w:r>
              <w:rPr>
                <w:rFonts w:ascii="Calibri" w:cs="Calibri" w:eastAsia="Calibri" w:hAnsi="Calibri"/>
                <w:sz w:val="20"/>
                <w:szCs w:val="20"/>
              </w:rPr>
              <w:t xml:space="preserve">One class per SRS genomic-notation requirement (FR-10 to FR-12): chromosome label inventory, genotype/allele layout classification, indel and haploid/diploid token classification. Purely descriptive — never infers or asserts biological meaning.</w:t>
            </w:r>
          </w:p>
        </w:tc>
      </w:tr>
      <w:tr>
        <w:tc>
          <w:tcPr>
            <w:tcW w:type="dxa" w:w="2600"/>
          </w:tcPr>
          <w:p>
            <w:r>
              <w:rPr>
                <w:rFonts w:ascii="Calibri" w:cs="Calibri" w:eastAsia="Calibri" w:hAnsi="Calibri"/>
                <w:sz w:val="20"/>
                <w:szCs w:val="20"/>
              </w:rPr>
              <w:t xml:space="preserve">domain/reporting/report_builder.py</w:t>
            </w:r>
          </w:p>
        </w:tc>
        <w:tc>
          <w:tcPr>
            <w:tcW w:type="dxa" w:w="6400"/>
          </w:tcPr>
          <w:p>
            <w:r>
              <w:rPr>
                <w:rFonts w:ascii="Calibri" w:cs="Calibri" w:eastAsia="Calibri" w:hAnsi="Calibri"/>
                <w:sz w:val="20"/>
                <w:szCs w:val="20"/>
              </w:rPr>
              <w:t xml:space="preserve">Aggregates all Findings, Profiles, and file-level metadata (OUT-1 to OUT-8) into a single ProfilingReport entity for one file.</w:t>
            </w:r>
          </w:p>
        </w:tc>
      </w:tr>
      <w:tr>
        <w:tc>
          <w:tcPr>
            <w:tcW w:type="dxa" w:w="2600"/>
          </w:tcPr>
          <w:p>
            <w:r>
              <w:rPr>
                <w:rFonts w:ascii="Calibri" w:cs="Calibri" w:eastAsia="Calibri" w:hAnsi="Calibri"/>
                <w:sz w:val="20"/>
                <w:szCs w:val="20"/>
              </w:rPr>
              <w:t xml:space="preserve">domain/reporting/open_question_registry.py</w:t>
            </w:r>
          </w:p>
        </w:tc>
        <w:tc>
          <w:tcPr>
            <w:tcW w:type="dxa" w:w="6400"/>
          </w:tcPr>
          <w:p>
            <w:r>
              <w:rPr>
                <w:rFonts w:ascii="Calibri" w:cs="Calibri" w:eastAsia="Calibri" w:hAnsi="Calibri"/>
                <w:sz w:val="20"/>
                <w:szCs w:val="20"/>
              </w:rPr>
              <w:t xml:space="preserve">Holds the fixed set of open questions the SRS identifies (Section 8.2 / RISK-1..9) and attaches the ones relevant to a given file's observed structure to the report (OUT-9), so no report can omit them.</w:t>
            </w:r>
          </w:p>
        </w:tc>
      </w:tr>
      <w:tr>
        <w:tc>
          <w:tcPr>
            <w:tcW w:type="dxa" w:w="2600"/>
          </w:tcPr>
          <w:p>
            <w:r>
              <w:rPr>
                <w:rFonts w:ascii="Calibri" w:cs="Calibri" w:eastAsia="Calibri" w:hAnsi="Calibri"/>
                <w:sz w:val="20"/>
                <w:szCs w:val="20"/>
              </w:rPr>
              <w:t xml:space="preserve">infrastructure/io/raw_file_loader.py</w:t>
            </w:r>
          </w:p>
        </w:tc>
        <w:tc>
          <w:tcPr>
            <w:tcW w:type="dxa" w:w="6400"/>
          </w:tcPr>
          <w:p>
            <w:r>
              <w:rPr>
                <w:rFonts w:ascii="Calibri" w:cs="Calibri" w:eastAsia="Calibri" w:hAnsi="Calibri"/>
                <w:sz w:val="20"/>
                <w:szCs w:val="20"/>
              </w:rPr>
              <w:t xml:space="preserve">The only component that opens the source file. Reads it read-only, line-by-line, exactly once per run (FR-14, NFR-2). Performs no interpretation.</w:t>
            </w:r>
          </w:p>
        </w:tc>
      </w:tr>
      <w:tr>
        <w:tc>
          <w:tcPr>
            <w:tcW w:type="dxa" w:w="2600"/>
          </w:tcPr>
          <w:p>
            <w:r>
              <w:rPr>
                <w:rFonts w:ascii="Calibri" w:cs="Calibri" w:eastAsia="Calibri" w:hAnsi="Calibri"/>
                <w:sz w:val="20"/>
                <w:szCs w:val="20"/>
              </w:rPr>
              <w:t xml:space="preserve">infrastructure/io/report_writer.py</w:t>
            </w:r>
          </w:p>
        </w:tc>
        <w:tc>
          <w:tcPr>
            <w:tcW w:type="dxa" w:w="6400"/>
          </w:tcPr>
          <w:p>
            <w:r>
              <w:rPr>
                <w:rFonts w:ascii="Calibri" w:cs="Calibri" w:eastAsia="Calibri" w:hAnsi="Calibri"/>
                <w:sz w:val="20"/>
                <w:szCs w:val="20"/>
              </w:rPr>
              <w:t xml:space="preserve">Implements the ReportSerializer interface; converts a ProfilingReport into a concrete artifact (see Section 11 assumption on format) and writes it to a per-file output location.</w:t>
            </w:r>
          </w:p>
        </w:tc>
      </w:tr>
      <w:tr>
        <w:tc>
          <w:tcPr>
            <w:tcW w:type="dxa" w:w="2600"/>
          </w:tcPr>
          <w:p>
            <w:r>
              <w:rPr>
                <w:rFonts w:ascii="Calibri" w:cs="Calibri" w:eastAsia="Calibri" w:hAnsi="Calibri"/>
                <w:sz w:val="20"/>
                <w:szCs w:val="20"/>
              </w:rPr>
              <w:t xml:space="preserve">infrastructure/config/config_loader.py</w:t>
            </w:r>
          </w:p>
        </w:tc>
        <w:tc>
          <w:tcPr>
            <w:tcW w:type="dxa" w:w="6400"/>
          </w:tcPr>
          <w:p>
            <w:r>
              <w:rPr>
                <w:rFonts w:ascii="Calibri" w:cs="Calibri" w:eastAsia="Calibri" w:hAnsi="Calibri"/>
                <w:sz w:val="20"/>
                <w:szCs w:val="20"/>
              </w:rPr>
              <w:t xml:space="preserve">Loads run configuration (see Section 11): comment prefix, header keyword, output location, logging verbosity. Supplies defaults matching observed conventions without hard-coding them as fixed assumptions in domain code.</w:t>
            </w:r>
          </w:p>
        </w:tc>
      </w:tr>
      <w:tr>
        <w:tc>
          <w:tcPr>
            <w:tcW w:type="dxa" w:w="2600"/>
          </w:tcPr>
          <w:p>
            <w:r>
              <w:rPr>
                <w:rFonts w:ascii="Calibri" w:cs="Calibri" w:eastAsia="Calibri" w:hAnsi="Calibri"/>
                <w:sz w:val="20"/>
                <w:szCs w:val="20"/>
              </w:rPr>
              <w:t xml:space="preserve">infrastructure/logging/logger_setup.py</w:t>
            </w:r>
          </w:p>
        </w:tc>
        <w:tc>
          <w:tcPr>
            <w:tcW w:type="dxa" w:w="6400"/>
          </w:tcPr>
          <w:p>
            <w:r>
              <w:rPr>
                <w:rFonts w:ascii="Calibri" w:cs="Calibri" w:eastAsia="Calibri" w:hAnsi="Calibri"/>
                <w:sz w:val="20"/>
                <w:szCs w:val="20"/>
              </w:rPr>
              <w:t xml:space="preserve">Configures structured logging handlers/formatters (see Section 12). Domain and application code log through the standard interface only; this module owns handler/sink configuration.</w:t>
            </w:r>
          </w:p>
        </w:tc>
      </w:tr>
      <w:tr>
        <w:tc>
          <w:tcPr>
            <w:tcW w:type="dxa" w:w="2600"/>
          </w:tcPr>
          <w:p>
            <w:r>
              <w:rPr>
                <w:rFonts w:ascii="Calibri" w:cs="Calibri" w:eastAsia="Calibri" w:hAnsi="Calibri"/>
                <w:sz w:val="20"/>
                <w:szCs w:val="20"/>
              </w:rPr>
              <w:t xml:space="preserve">tests/*</w:t>
            </w:r>
          </w:p>
        </w:tc>
        <w:tc>
          <w:tcPr>
            <w:tcW w:type="dxa" w:w="6400"/>
          </w:tcPr>
          <w:p>
            <w:r>
              <w:rPr>
                <w:rFonts w:ascii="Calibri" w:cs="Calibri" w:eastAsia="Calibri" w:hAnsi="Calibri"/>
                <w:sz w:val="20"/>
                <w:szCs w:val="20"/>
              </w:rPr>
              <w:t xml:space="preserve">Unit tests per domain component using synthetic fixtures; integration tests running the full pipeline against fixture files reproducing the structural properties of Dataset A and Dataset B without using the actual sensitive source files (see Section 15).</w:t>
            </w:r>
          </w:p>
        </w:tc>
      </w:tr>
    </w:tbl>
    <w:p>
      <w:pPr>
        <w:pStyle w:val="Heading1"/>
        <w:spacing w:after="200" w:before="400"/>
      </w:pPr>
      <w:r>
        <w:t xml:space="preserve">6. Data Flow Through the System</w:t>
      </w:r>
    </w:p>
    <w:p>
      <w:pPr>
        <w:spacing w:after="150"/>
      </w:pPr>
      <w:r>
        <w:rPr>
          <w:rFonts w:ascii="Calibri" w:cs="Calibri" w:eastAsia="Calibri" w:hAnsi="Calibri"/>
        </w:rPr>
        <w:t xml:space="preserve">For one input file, data flows strictly forward through the pipeline; no step mutates a previous step's output in place — each stage produces a new, immutable value passed to the next stage.</w:t>
      </w:r>
    </w:p>
    <w:p>
      <w:pPr>
        <w:pStyle w:val="ListParagraph"/>
        <w:numPr>
          <w:ilvl w:val="0"/>
          <w:numId w:val="2"/>
        </w:numPr>
        <w:spacing w:after="80"/>
      </w:pPr>
      <w:r>
        <w:rPr>
          <w:rFonts w:ascii="Calibri" w:cs="Calibri" w:eastAsia="Calibri" w:hAnsi="Calibri"/>
        </w:rPr>
        <w:t xml:space="preserve">1. raw_file_loader reads the file as raw lines (read-only), producing a list of raw line strings — no interpretation.</w:t>
      </w:r>
    </w:p>
    <w:p>
      <w:pPr>
        <w:pStyle w:val="ListParagraph"/>
        <w:numPr>
          <w:ilvl w:val="0"/>
          <w:numId w:val="2"/>
        </w:numPr>
        <w:spacing w:after="80"/>
      </w:pPr>
      <w:r>
        <w:rPr>
          <w:rFonts w:ascii="Calibri" w:cs="Calibri" w:eastAsia="Calibri" w:hAnsi="Calibri"/>
        </w:rPr>
        <w:t xml:space="preserve">2. encoding_detector inspects a byte sample independently of line loading and produces an EncodingProfile (used for reporting, not for altering how lines were read).</w:t>
      </w:r>
    </w:p>
    <w:p>
      <w:pPr>
        <w:pStyle w:val="ListParagraph"/>
        <w:numPr>
          <w:ilvl w:val="0"/>
          <w:numId w:val="2"/>
        </w:numPr>
        <w:spacing w:after="80"/>
      </w:pPr>
      <w:r>
        <w:rPr>
          <w:rFonts w:ascii="Calibri" w:cs="Calibri" w:eastAsia="Calibri" w:hAnsi="Calibri"/>
        </w:rPr>
        <w:t xml:space="preserve">3. raw_line_splitter partitions raw lines into CommentBlock (all comment lines, preserved verbatim) and a list of candidate data lines.</w:t>
      </w:r>
    </w:p>
    <w:p>
      <w:pPr>
        <w:pStyle w:val="ListParagraph"/>
        <w:numPr>
          <w:ilvl w:val="0"/>
          <w:numId w:val="2"/>
        </w:numPr>
        <w:spacing w:after="80"/>
      </w:pPr>
      <w:r>
        <w:rPr>
          <w:rFonts w:ascii="Calibri" w:cs="Calibri" w:eastAsia="Calibri" w:hAnsi="Calibri"/>
        </w:rPr>
        <w:t xml:space="preserve">4. delimiter_detector inspects a sample of data lines and produces a Delimiter value.</w:t>
      </w:r>
    </w:p>
    <w:p>
      <w:pPr>
        <w:pStyle w:val="ListParagraph"/>
        <w:numPr>
          <w:ilvl w:val="0"/>
          <w:numId w:val="2"/>
        </w:numPr>
        <w:spacing w:after="80"/>
      </w:pPr>
      <w:r>
        <w:rPr>
          <w:rFonts w:ascii="Calibri" w:cs="Calibri" w:eastAsia="Calibri" w:hAnsi="Calibri"/>
        </w:rPr>
        <w:t xml:space="preserve">5. header_resolver inspects the first data line and the CommentBlock to produce a HeaderInfo (form: uncommented row / commented-only / absent, plus resolved column names) and the effective data rows (header line excluded from data if present as an uncommented row).</w:t>
      </w:r>
    </w:p>
    <w:p>
      <w:pPr>
        <w:pStyle w:val="ListParagraph"/>
        <w:numPr>
          <w:ilvl w:val="0"/>
          <w:numId w:val="2"/>
        </w:numPr>
        <w:spacing w:after="80"/>
      </w:pPr>
      <w:r>
        <w:rPr>
          <w:rFonts w:ascii="Calibri" w:cs="Calibri" w:eastAsia="Calibri" w:hAnsi="Calibri"/>
        </w:rPr>
        <w:t xml:space="preserve">6. row_parser splits every remaining data line into a DataRow (ordered field list) using the detected delimiter, without casting.</w:t>
      </w:r>
    </w:p>
    <w:p>
      <w:pPr>
        <w:pStyle w:val="ListParagraph"/>
        <w:numPr>
          <w:ilvl w:val="0"/>
          <w:numId w:val="2"/>
        </w:numPr>
        <w:spacing w:after="80"/>
      </w:pPr>
      <w:r>
        <w:rPr>
          <w:rFonts w:ascii="Calibri" w:cs="Calibri" w:eastAsia="Calibri" w:hAnsi="Calibri"/>
        </w:rPr>
        <w:t xml:space="preserve">7. Each QualityCheck (duplicate header, malformed row, missing-value scan, duplicate RSID, duplicate chr-pos) runs independently over the same DataRow collection and produces one Finding each.</w:t>
      </w:r>
    </w:p>
    <w:p>
      <w:pPr>
        <w:pStyle w:val="ListParagraph"/>
        <w:numPr>
          <w:ilvl w:val="0"/>
          <w:numId w:val="2"/>
        </w:numPr>
        <w:spacing w:after="80"/>
      </w:pPr>
      <w:r>
        <w:rPr>
          <w:rFonts w:ascii="Calibri" w:cs="Calibri" w:eastAsia="Calibri" w:hAnsi="Calibri"/>
        </w:rPr>
        <w:t xml:space="preserve">8. Each genomic profiler (chromosome label inventory, genotype/allele layout, indel/haploid classification) runs independently over the same DataRow collection and produces one Profile each.</w:t>
      </w:r>
    </w:p>
    <w:p>
      <w:pPr>
        <w:pStyle w:val="ListParagraph"/>
        <w:numPr>
          <w:ilvl w:val="0"/>
          <w:numId w:val="2"/>
        </w:numPr>
        <w:spacing w:after="80"/>
      </w:pPr>
      <w:r>
        <w:rPr>
          <w:rFonts w:ascii="Calibri" w:cs="Calibri" w:eastAsia="Calibri" w:hAnsi="Calibri"/>
        </w:rPr>
        <w:t xml:space="preserve">9. report_builder collects all Findings, Profiles, file metadata, and relevant OpenQuestions into one ProfilingReport for the file.</w:t>
      </w:r>
    </w:p>
    <w:p>
      <w:pPr>
        <w:pStyle w:val="ListParagraph"/>
        <w:numPr>
          <w:ilvl w:val="0"/>
          <w:numId w:val="2"/>
        </w:numPr>
        <w:spacing w:after="80"/>
      </w:pPr>
      <w:r>
        <w:rPr>
          <w:rFonts w:ascii="Calibri" w:cs="Calibri" w:eastAsia="Calibri" w:hAnsi="Calibri"/>
        </w:rPr>
        <w:t xml:space="preserve">10. report_writer (via the ReportSerializer interface) serializes and persists the ProfilingReport to a per-file output artifact.</w:t>
      </w:r>
    </w:p>
    <w:p>
      <w:pPr>
        <w:spacing w:after="150"/>
      </w:pPr>
      <w:r>
        <w:rPr>
          <w:rFonts w:ascii="Calibri" w:cs="Calibri" w:eastAsia="Calibri" w:hAnsi="Calibri"/>
        </w:rPr>
        <w:t xml:space="preserve">Because Findings and Profiles are computed independently of one another over the same immutable DataRow collection, they can be parallelized safely within a single file's run; this is a possible future optimization, not a Version 1 requirement.</w:t>
      </w:r>
    </w:p>
    <w:p>
      <w:pPr>
        <w:pStyle w:val="Heading1"/>
        <w:spacing w:after="200" w:before="400"/>
      </w:pPr>
      <w:r>
        <w:t xml:space="preserve">7. Domain Model</w:t>
      </w:r>
    </w:p>
    <w:p>
      <w:pPr>
        <w:spacing w:after="150"/>
      </w:pPr>
      <w:r>
        <w:rPr>
          <w:rFonts w:ascii="Calibri" w:cs="Calibri" w:eastAsia="Calibri" w:hAnsi="Calibri"/>
        </w:rPr>
        <w:t xml:space="preserve">The domain model expresses exactly the concepts the SRS names, and nothing more. It deliberately has no concept of "individual", "phenotype", "trait", or "comparison" — such concepts are out of scope (SRS Section 11) and are not modeled here even as placeholders.</w:t>
      </w:r>
    </w:p>
    <w:p>
      <w:pPr>
        <w:pStyle w:val="Heading2"/>
        <w:spacing w:after="150" w:before="300"/>
      </w:pPr>
      <w:r>
        <w:t xml:space="preserve">7.1 Conceptual Overview</w:t>
      </w:r>
    </w:p>
    <w:p>
      <w:pPr>
        <w:pBdr>
          <w:top w:val="single" w:color="CCCCCC" w:sz="4"/>
          <w:bottom w:val="single" w:color="CCCCCC" w:sz="4"/>
        </w:pBdr>
        <w:shd w:fill="F2F2F2" w:val="clear"/>
        <w:spacing w:after="200"/>
      </w:pPr>
      <w:r>
        <w:rPr>
          <w:rFonts w:ascii="Consolas" w:cs="Consolas" w:eastAsia="Consolas" w:hAnsi="Consolas"/>
          <w:sz w:val="18"/>
          <w:szCs w:val="18"/>
        </w:rPr>
        <w:t xml:space="preserve">GenotypeFile (aggregate root: one input file)</w:t>
      </w:r>
      <w:r>
        <w:rPr>
          <w:rFonts w:ascii="Consolas" w:cs="Consolas" w:eastAsia="Consolas" w:hAnsi="Consolas"/>
          <w:sz w:val="18"/>
          <w:szCs w:val="18"/>
        </w:rPr>
        <w:br/>
        <w:t xml:space="preserve"> ├── has a  CommentBlock            (verbatim leading/interspersed comments)</w:t>
      </w:r>
      <w:r>
        <w:rPr>
          <w:rFonts w:ascii="Consolas" w:cs="Consolas" w:eastAsia="Consolas" w:hAnsi="Consolas"/>
          <w:sz w:val="18"/>
          <w:szCs w:val="18"/>
        </w:rPr>
        <w:br/>
        <w:t xml:space="preserve"> ├── has a  HeaderInfo              (form + resolved column names)</w:t>
      </w:r>
      <w:r>
        <w:rPr>
          <w:rFonts w:ascii="Consolas" w:cs="Consolas" w:eastAsia="Consolas" w:hAnsi="Consolas"/>
          <w:sz w:val="18"/>
          <w:szCs w:val="18"/>
        </w:rPr>
        <w:br/>
        <w:t xml:space="preserve"> ├── has an EncodingProfile         (BOM, decodability)</w:t>
      </w:r>
      <w:r>
        <w:rPr>
          <w:rFonts w:ascii="Consolas" w:cs="Consolas" w:eastAsia="Consolas" w:hAnsi="Consolas"/>
          <w:sz w:val="18"/>
          <w:szCs w:val="18"/>
        </w:rPr>
        <w:br/>
        <w:t xml:space="preserve"> ├── has a  Delimiter</w:t>
      </w:r>
      <w:r>
        <w:rPr>
          <w:rFonts w:ascii="Consolas" w:cs="Consolas" w:eastAsia="Consolas" w:hAnsi="Consolas"/>
          <w:sz w:val="18"/>
          <w:szCs w:val="18"/>
        </w:rPr>
        <w:br/>
        <w:t xml:space="preserve"> ├── has many DataRow               (ordered field values, 1 per data line)</w:t>
      </w:r>
      <w:r>
        <w:rPr>
          <w:rFonts w:ascii="Consolas" w:cs="Consolas" w:eastAsia="Consolas" w:hAnsi="Consolas"/>
          <w:sz w:val="18"/>
          <w:szCs w:val="18"/>
        </w:rPr>
        <w:br/>
        <w:t xml:space="preserve"> └── produces exactly one ProfilingReport</w:t>
      </w:r>
      <w:r>
        <w:rPr>
          <w:rFonts w:ascii="Consolas" w:cs="Consolas" w:eastAsia="Consolas" w:hAnsi="Consolas"/>
          <w:sz w:val="18"/>
          <w:szCs w:val="18"/>
        </w:rPr>
        <w:br/>
        <w:t xml:space="preserve"/>
      </w:r>
      <w:r>
        <w:rPr>
          <w:rFonts w:ascii="Consolas" w:cs="Consolas" w:eastAsia="Consolas" w:hAnsi="Consolas"/>
          <w:sz w:val="18"/>
          <w:szCs w:val="18"/>
        </w:rPr>
        <w:br/>
        <w:t xml:space="preserve">ProfilingReport (aggregate root: one output artifact per file)</w:t>
      </w:r>
      <w:r>
        <w:rPr>
          <w:rFonts w:ascii="Consolas" w:cs="Consolas" w:eastAsia="Consolas" w:hAnsi="Consolas"/>
          <w:sz w:val="18"/>
          <w:szCs w:val="18"/>
        </w:rPr>
        <w:br/>
        <w:t xml:space="preserve"> ├── has file-level metadata        (OUT-1, OUT-2, OUT-3, OUT-4, OUT-5)</w:t>
      </w:r>
      <w:r>
        <w:rPr>
          <w:rFonts w:ascii="Consolas" w:cs="Consolas" w:eastAsia="Consolas" w:hAnsi="Consolas"/>
          <w:sz w:val="18"/>
          <w:szCs w:val="18"/>
        </w:rPr>
        <w:br/>
        <w:t xml:space="preserve"> ├── has many Finding                (one per quality check, OUT-7)</w:t>
      </w:r>
      <w:r>
        <w:rPr>
          <w:rFonts w:ascii="Consolas" w:cs="Consolas" w:eastAsia="Consolas" w:hAnsi="Consolas"/>
          <w:sz w:val="18"/>
          <w:szCs w:val="18"/>
        </w:rPr>
        <w:br/>
        <w:t xml:space="preserve"> ├── has many Profile                (one per genomic profiler, OUT-6, OUT-8)</w:t>
      </w:r>
      <w:r>
        <w:rPr>
          <w:rFonts w:ascii="Consolas" w:cs="Consolas" w:eastAsia="Consolas" w:hAnsi="Consolas"/>
          <w:sz w:val="18"/>
          <w:szCs w:val="18"/>
        </w:rPr>
        <w:br/>
        <w:t xml:space="preserve"> └── has many OpenQuestion           (OUT-9)</w:t>
      </w:r>
    </w:p>
    <w:p>
      <w:pPr>
        <w:pStyle w:val="Heading2"/>
        <w:spacing w:after="150" w:before="300"/>
      </w:pPr>
      <w:r>
        <w:t xml:space="preserve">7.2 Key Relationships and Invariants</w:t>
      </w:r>
    </w:p>
    <w:p>
      <w:pPr>
        <w:pStyle w:val="ListParagraph"/>
        <w:numPr>
          <w:ilvl w:val="0"/>
          <w:numId w:val="2"/>
        </w:numPr>
        <w:spacing w:after="80"/>
      </w:pPr>
      <w:r>
        <w:rPr>
          <w:rFonts w:ascii="Calibri" w:cs="Calibri" w:eastAsia="Calibri" w:hAnsi="Calibri"/>
        </w:rPr>
        <w:t xml:space="preserve">A GenotypeFile always has exactly one CommentBlock and one HeaderInfo, even when a file has no comments or no header — these are represented as empty/absent states, never null pointers, to keep downstream logic uniform across Dataset A's and Dataset B's differing header forms.</w:t>
      </w:r>
    </w:p>
    <w:p>
      <w:pPr>
        <w:pStyle w:val="ListParagraph"/>
        <w:numPr>
          <w:ilvl w:val="0"/>
          <w:numId w:val="2"/>
        </w:numPr>
        <w:spacing w:after="80"/>
      </w:pPr>
      <w:r>
        <w:rPr>
          <w:rFonts w:ascii="Calibri" w:cs="Calibri" w:eastAsia="Calibri" w:hAnsi="Calibri"/>
        </w:rPr>
        <w:t xml:space="preserve">A DataRow does not know its own "correctness" — column-count expectations (modal column count) are computed by the malformed_row_check, not stored on the row itself, since a row's shape is a fact and "malformed" is a judgment relative to the file's modal shape (FR-5).</w:t>
      </w:r>
    </w:p>
    <w:p>
      <w:pPr>
        <w:pStyle w:val="ListParagraph"/>
        <w:numPr>
          <w:ilvl w:val="0"/>
          <w:numId w:val="2"/>
        </w:numPr>
        <w:spacing w:after="80"/>
      </w:pPr>
      <w:r>
        <w:rPr>
          <w:rFonts w:ascii="Calibri" w:cs="Calibri" w:eastAsia="Calibri" w:hAnsi="Calibri"/>
        </w:rPr>
        <w:t xml:space="preserve">A Finding never contains a corrective action or resolution — only what was observed, consistent with the SRS instruction that these are reporting, not resolution, requirements (Section 4 preamble).</w:t>
      </w:r>
    </w:p>
    <w:p>
      <w:pPr>
        <w:pStyle w:val="ListParagraph"/>
        <w:numPr>
          <w:ilvl w:val="0"/>
          <w:numId w:val="2"/>
        </w:numPr>
        <w:spacing w:after="80"/>
      </w:pPr>
      <w:r>
        <w:rPr>
          <w:rFonts w:ascii="Calibri" w:cs="Calibri" w:eastAsia="Calibri" w:hAnsi="Calibri"/>
        </w:rPr>
        <w:t xml:space="preserve">An OpenQuestion is attached to a report, never "resolved" by any component in this system — resolving them is explicitly future, separate work (SRS Section 8.2, Section 11).</w:t>
      </w:r>
    </w:p>
    <w:p>
      <w:pPr>
        <w:pStyle w:val="Heading1"/>
        <w:spacing w:after="200" w:before="400"/>
      </w:pPr>
      <w:r>
        <w:t xml:space="preserve">8. Core Entities and Data Models</w:t>
      </w:r>
    </w:p>
    <w:p>
      <w:pPr>
        <w:spacing w:after="150"/>
      </w:pPr>
      <w:r>
        <w:rPr>
          <w:rFonts w:ascii="Calibri" w:cs="Calibri" w:eastAsia="Calibri" w:hAnsi="Calibri"/>
        </w:rPr>
        <w:t xml:space="preserve">These are described conceptually (fields and meaning only); no class implementations or code are included, per instructions.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00"/>
      </w:tblGrid>
      <w:tr>
        <w:trPr>
          <w:tblHeader/>
        </w:trPr>
        <w:tc>
          <w:tcPr>
            <w:tcW w:type="dxa" w:w="2300"/>
            <w:shd w:fill="2F5496" w:val="clear"/>
          </w:tcPr>
          <w:p>
            <w:r>
              <w:rPr>
                <w:rFonts w:ascii="Calibri" w:cs="Calibri" w:eastAsia="Calibri" w:hAnsi="Calibri"/>
                <w:b/>
                <w:bCs/>
                <w:color w:val="FFFFFF"/>
                <w:sz w:val="20"/>
                <w:szCs w:val="20"/>
              </w:rPr>
              <w:t xml:space="preserve">Entity / Value Object</w:t>
            </w:r>
          </w:p>
        </w:tc>
        <w:tc>
          <w:tcPr>
            <w:tcW w:type="dxa" w:w="4300"/>
            <w:shd w:fill="2F5496" w:val="clear"/>
          </w:tcPr>
          <w:p>
            <w:r>
              <w:rPr>
                <w:rFonts w:ascii="Calibri" w:cs="Calibri" w:eastAsia="Calibri" w:hAnsi="Calibri"/>
                <w:b/>
                <w:bCs/>
                <w:color w:val="FFFFFF"/>
                <w:sz w:val="20"/>
                <w:szCs w:val="20"/>
              </w:rPr>
              <w:t xml:space="preserve">Key Fields (conceptual)</w:t>
            </w:r>
          </w:p>
        </w:tc>
        <w:tc>
          <w:tcPr>
            <w:tcW w:type="dxa" w:w="2400"/>
            <w:shd w:fill="2F5496" w:val="clear"/>
          </w:tcPr>
          <w:p>
            <w:r>
              <w:rPr>
                <w:rFonts w:ascii="Calibri" w:cs="Calibri" w:eastAsia="Calibri" w:hAnsi="Calibri"/>
                <w:b/>
                <w:bCs/>
                <w:color w:val="FFFFFF"/>
                <w:sz w:val="20"/>
                <w:szCs w:val="20"/>
              </w:rPr>
              <w:t xml:space="preserve">SRS Traceability</w:t>
            </w:r>
          </w:p>
        </w:tc>
      </w:tr>
      <w:tr>
        <w:tc>
          <w:tcPr>
            <w:tcW w:type="dxa" w:w="2300"/>
          </w:tcPr>
          <w:p>
            <w:r>
              <w:rPr>
                <w:rFonts w:ascii="Calibri" w:cs="Calibri" w:eastAsia="Calibri" w:hAnsi="Calibri"/>
                <w:sz w:val="20"/>
                <w:szCs w:val="20"/>
              </w:rPr>
              <w:t xml:space="preserve">GenotypeFile</w:t>
            </w:r>
          </w:p>
        </w:tc>
        <w:tc>
          <w:tcPr>
            <w:tcW w:type="dxa" w:w="4300"/>
          </w:tcPr>
          <w:p>
            <w:r>
              <w:rPr>
                <w:rFonts w:ascii="Calibri" w:cs="Calibri" w:eastAsia="Calibri" w:hAnsi="Calibri"/>
                <w:sz w:val="20"/>
                <w:szCs w:val="20"/>
              </w:rPr>
              <w:t xml:space="preserve">source_path, size_bytes, raw_line_count, comment_block, header_info, encoding_profile, delimiter, data_rows</w:t>
            </w:r>
          </w:p>
        </w:tc>
        <w:tc>
          <w:tcPr>
            <w:tcW w:type="dxa" w:w="2400"/>
          </w:tcPr>
          <w:p>
            <w:r>
              <w:rPr>
                <w:rFonts w:ascii="Calibri" w:cs="Calibri" w:eastAsia="Calibri" w:hAnsi="Calibri"/>
                <w:sz w:val="20"/>
                <w:szCs w:val="20"/>
              </w:rPr>
              <w:t xml:space="preserve">Section 6.1, OUT-1, OUT-2</w:t>
            </w:r>
          </w:p>
        </w:tc>
      </w:tr>
      <w:tr>
        <w:tc>
          <w:tcPr>
            <w:tcW w:type="dxa" w:w="2300"/>
          </w:tcPr>
          <w:p>
            <w:r>
              <w:rPr>
                <w:rFonts w:ascii="Calibri" w:cs="Calibri" w:eastAsia="Calibri" w:hAnsi="Calibri"/>
                <w:sz w:val="20"/>
                <w:szCs w:val="20"/>
              </w:rPr>
              <w:t xml:space="preserve">CommentBlock</w:t>
            </w:r>
          </w:p>
        </w:tc>
        <w:tc>
          <w:tcPr>
            <w:tcW w:type="dxa" w:w="4300"/>
          </w:tcPr>
          <w:p>
            <w:r>
              <w:rPr>
                <w:rFonts w:ascii="Calibri" w:cs="Calibri" w:eastAsia="Calibri" w:hAnsi="Calibri"/>
                <w:sz w:val="20"/>
                <w:szCs w:val="20"/>
              </w:rPr>
              <w:t xml:space="preserve">lines (ordered, verbatim), count</w:t>
            </w:r>
          </w:p>
        </w:tc>
        <w:tc>
          <w:tcPr>
            <w:tcW w:type="dxa" w:w="2400"/>
          </w:tcPr>
          <w:p>
            <w:r>
              <w:rPr>
                <w:rFonts w:ascii="Calibri" w:cs="Calibri" w:eastAsia="Calibri" w:hAnsi="Calibri"/>
                <w:sz w:val="20"/>
                <w:szCs w:val="20"/>
              </w:rPr>
              <w:t xml:space="preserve">FR-1</w:t>
            </w:r>
          </w:p>
        </w:tc>
      </w:tr>
      <w:tr>
        <w:tc>
          <w:tcPr>
            <w:tcW w:type="dxa" w:w="2300"/>
          </w:tcPr>
          <w:p>
            <w:r>
              <w:rPr>
                <w:rFonts w:ascii="Calibri" w:cs="Calibri" w:eastAsia="Calibri" w:hAnsi="Calibri"/>
                <w:sz w:val="20"/>
                <w:szCs w:val="20"/>
              </w:rPr>
              <w:t xml:space="preserve">HeaderInfo</w:t>
            </w:r>
          </w:p>
        </w:tc>
        <w:tc>
          <w:tcPr>
            <w:tcW w:type="dxa" w:w="4300"/>
          </w:tcPr>
          <w:p>
            <w:r>
              <w:rPr>
                <w:rFonts w:ascii="Calibri" w:cs="Calibri" w:eastAsia="Calibri" w:hAnsi="Calibri"/>
                <w:sz w:val="20"/>
                <w:szCs w:val="20"/>
              </w:rPr>
              <w:t xml:space="preserve">form (uncommented_row | commented_only | absent), resolved_columns (ordered names or None), source_line</w:t>
            </w:r>
          </w:p>
        </w:tc>
        <w:tc>
          <w:tcPr>
            <w:tcW w:type="dxa" w:w="2400"/>
          </w:tcPr>
          <w:p>
            <w:r>
              <w:rPr>
                <w:rFonts w:ascii="Calibri" w:cs="Calibri" w:eastAsia="Calibri" w:hAnsi="Calibri"/>
                <w:sz w:val="20"/>
                <w:szCs w:val="20"/>
              </w:rPr>
              <w:t xml:space="preserve">FR-3, OUT-4</w:t>
            </w:r>
          </w:p>
        </w:tc>
      </w:tr>
      <w:tr>
        <w:tc>
          <w:tcPr>
            <w:tcW w:type="dxa" w:w="2300"/>
          </w:tcPr>
          <w:p>
            <w:r>
              <w:rPr>
                <w:rFonts w:ascii="Calibri" w:cs="Calibri" w:eastAsia="Calibri" w:hAnsi="Calibri"/>
                <w:sz w:val="20"/>
                <w:szCs w:val="20"/>
              </w:rPr>
              <w:t xml:space="preserve">EncodingProfile</w:t>
            </w:r>
          </w:p>
        </w:tc>
        <w:tc>
          <w:tcPr>
            <w:tcW w:type="dxa" w:w="4300"/>
          </w:tcPr>
          <w:p>
            <w:r>
              <w:rPr>
                <w:rFonts w:ascii="Calibri" w:cs="Calibri" w:eastAsia="Calibri" w:hAnsi="Calibri"/>
                <w:sz w:val="20"/>
                <w:szCs w:val="20"/>
              </w:rPr>
              <w:t xml:space="preserve">bom_detected, decodable_as (per candidate encoding: bool)</w:t>
            </w:r>
          </w:p>
        </w:tc>
        <w:tc>
          <w:tcPr>
            <w:tcW w:type="dxa" w:w="2400"/>
          </w:tcPr>
          <w:p>
            <w:r>
              <w:rPr>
                <w:rFonts w:ascii="Calibri" w:cs="Calibri" w:eastAsia="Calibri" w:hAnsi="Calibri"/>
                <w:sz w:val="20"/>
                <w:szCs w:val="20"/>
              </w:rPr>
              <w:t xml:space="preserve">FR-13, OUT-3</w:t>
            </w:r>
          </w:p>
        </w:tc>
      </w:tr>
      <w:tr>
        <w:tc>
          <w:tcPr>
            <w:tcW w:type="dxa" w:w="2300"/>
          </w:tcPr>
          <w:p>
            <w:r>
              <w:rPr>
                <w:rFonts w:ascii="Calibri" w:cs="Calibri" w:eastAsia="Calibri" w:hAnsi="Calibri"/>
                <w:sz w:val="20"/>
                <w:szCs w:val="20"/>
              </w:rPr>
              <w:t xml:space="preserve">Delimiter</w:t>
            </w:r>
          </w:p>
        </w:tc>
        <w:tc>
          <w:tcPr>
            <w:tcW w:type="dxa" w:w="4300"/>
          </w:tcPr>
          <w:p>
            <w:r>
              <w:rPr>
                <w:rFonts w:ascii="Calibri" w:cs="Calibri" w:eastAsia="Calibri" w:hAnsi="Calibri"/>
                <w:sz w:val="20"/>
                <w:szCs w:val="20"/>
              </w:rPr>
              <w:t xml:space="preserve">character, detection_method</w:t>
            </w:r>
          </w:p>
        </w:tc>
        <w:tc>
          <w:tcPr>
            <w:tcW w:type="dxa" w:w="2400"/>
          </w:tcPr>
          <w:p>
            <w:r>
              <w:rPr>
                <w:rFonts w:ascii="Calibri" w:cs="Calibri" w:eastAsia="Calibri" w:hAnsi="Calibri"/>
                <w:sz w:val="20"/>
                <w:szCs w:val="20"/>
              </w:rPr>
              <w:t xml:space="preserve">FR-2</w:t>
            </w:r>
          </w:p>
        </w:tc>
      </w:tr>
      <w:tr>
        <w:tc>
          <w:tcPr>
            <w:tcW w:type="dxa" w:w="2300"/>
          </w:tcPr>
          <w:p>
            <w:r>
              <w:rPr>
                <w:rFonts w:ascii="Calibri" w:cs="Calibri" w:eastAsia="Calibri" w:hAnsi="Calibri"/>
                <w:sz w:val="20"/>
                <w:szCs w:val="20"/>
              </w:rPr>
              <w:t xml:space="preserve">DataRow</w:t>
            </w:r>
          </w:p>
        </w:tc>
        <w:tc>
          <w:tcPr>
            <w:tcW w:type="dxa" w:w="4300"/>
          </w:tcPr>
          <w:p>
            <w:r>
              <w:rPr>
                <w:rFonts w:ascii="Calibri" w:cs="Calibri" w:eastAsia="Calibri" w:hAnsi="Calibri"/>
                <w:sz w:val="20"/>
                <w:szCs w:val="20"/>
              </w:rPr>
              <w:t xml:space="preserve">line_index, fields (ordered raw strings, unmodified)</w:t>
            </w:r>
          </w:p>
        </w:tc>
        <w:tc>
          <w:tcPr>
            <w:tcW w:type="dxa" w:w="2400"/>
          </w:tcPr>
          <w:p>
            <w:r>
              <w:rPr>
                <w:rFonts w:ascii="Calibri" w:cs="Calibri" w:eastAsia="Calibri" w:hAnsi="Calibri"/>
                <w:sz w:val="20"/>
                <w:szCs w:val="20"/>
              </w:rPr>
              <w:t xml:space="preserve">FR-4</w:t>
            </w:r>
          </w:p>
        </w:tc>
      </w:tr>
      <w:tr>
        <w:tc>
          <w:tcPr>
            <w:tcW w:type="dxa" w:w="2300"/>
          </w:tcPr>
          <w:p>
            <w:r>
              <w:rPr>
                <w:rFonts w:ascii="Calibri" w:cs="Calibri" w:eastAsia="Calibri" w:hAnsi="Calibri"/>
                <w:sz w:val="20"/>
                <w:szCs w:val="20"/>
              </w:rPr>
              <w:t xml:space="preserve">ColumnCountDistribution</w:t>
            </w:r>
          </w:p>
        </w:tc>
        <w:tc>
          <w:tcPr>
            <w:tcW w:type="dxa" w:w="4300"/>
          </w:tcPr>
          <w:p>
            <w:r>
              <w:rPr>
                <w:rFonts w:ascii="Calibri" w:cs="Calibri" w:eastAsia="Calibri" w:hAnsi="Calibri"/>
                <w:sz w:val="20"/>
                <w:szCs w:val="20"/>
              </w:rPr>
              <w:t xml:space="preserve">counts_by_column_count (map), modal_count</w:t>
            </w:r>
          </w:p>
        </w:tc>
        <w:tc>
          <w:tcPr>
            <w:tcW w:type="dxa" w:w="2400"/>
          </w:tcPr>
          <w:p>
            <w:r>
              <w:rPr>
                <w:rFonts w:ascii="Calibri" w:cs="Calibri" w:eastAsia="Calibri" w:hAnsi="Calibri"/>
                <w:sz w:val="20"/>
                <w:szCs w:val="20"/>
              </w:rPr>
              <w:t xml:space="preserve">FR-5, OUT-5</w:t>
            </w:r>
          </w:p>
        </w:tc>
      </w:tr>
      <w:tr>
        <w:tc>
          <w:tcPr>
            <w:tcW w:type="dxa" w:w="2300"/>
          </w:tcPr>
          <w:p>
            <w:r>
              <w:rPr>
                <w:rFonts w:ascii="Calibri" w:cs="Calibri" w:eastAsia="Calibri" w:hAnsi="Calibri"/>
                <w:sz w:val="20"/>
                <w:szCs w:val="20"/>
              </w:rPr>
              <w:t xml:space="preserve">Finding</w:t>
            </w:r>
          </w:p>
        </w:tc>
        <w:tc>
          <w:tcPr>
            <w:tcW w:type="dxa" w:w="4300"/>
          </w:tcPr>
          <w:p>
            <w:r>
              <w:rPr>
                <w:rFonts w:ascii="Calibri" w:cs="Calibri" w:eastAsia="Calibri" w:hAnsi="Calibri"/>
                <w:sz w:val="20"/>
                <w:szCs w:val="20"/>
              </w:rPr>
              <w:t xml:space="preserve">check_name, description, count, examples (bounded sample), affected_row_refs (optional)</w:t>
            </w:r>
          </w:p>
        </w:tc>
        <w:tc>
          <w:tcPr>
            <w:tcW w:type="dxa" w:w="2400"/>
          </w:tcPr>
          <w:p>
            <w:r>
              <w:rPr>
                <w:rFonts w:ascii="Calibri" w:cs="Calibri" w:eastAsia="Calibri" w:hAnsi="Calibri"/>
                <w:sz w:val="20"/>
                <w:szCs w:val="20"/>
              </w:rPr>
              <w:t xml:space="preserve">FR-5..FR-9, OUT-7, NFR-6</w:t>
            </w:r>
          </w:p>
        </w:tc>
      </w:tr>
      <w:tr>
        <w:tc>
          <w:tcPr>
            <w:tcW w:type="dxa" w:w="2300"/>
          </w:tcPr>
          <w:p>
            <w:r>
              <w:rPr>
                <w:rFonts w:ascii="Calibri" w:cs="Calibri" w:eastAsia="Calibri" w:hAnsi="Calibri"/>
                <w:sz w:val="20"/>
                <w:szCs w:val="20"/>
              </w:rPr>
              <w:t xml:space="preserve">ChromosomeLabelInventory</w:t>
            </w:r>
          </w:p>
        </w:tc>
        <w:tc>
          <w:tcPr>
            <w:tcW w:type="dxa" w:w="4300"/>
          </w:tcPr>
          <w:p>
            <w:r>
              <w:rPr>
                <w:rFonts w:ascii="Calibri" w:cs="Calibri" w:eastAsia="Calibri" w:hAnsi="Calibri"/>
                <w:sz w:val="20"/>
                <w:szCs w:val="20"/>
              </w:rPr>
              <w:t xml:space="preserve">label_counts (map: label → row count)</w:t>
            </w:r>
          </w:p>
        </w:tc>
        <w:tc>
          <w:tcPr>
            <w:tcW w:type="dxa" w:w="2400"/>
          </w:tcPr>
          <w:p>
            <w:r>
              <w:rPr>
                <w:rFonts w:ascii="Calibri" w:cs="Calibri" w:eastAsia="Calibri" w:hAnsi="Calibri"/>
                <w:sz w:val="20"/>
                <w:szCs w:val="20"/>
              </w:rPr>
              <w:t xml:space="preserve">FR-10, OUT-8</w:t>
            </w:r>
          </w:p>
        </w:tc>
      </w:tr>
      <w:tr>
        <w:tc>
          <w:tcPr>
            <w:tcW w:type="dxa" w:w="2300"/>
          </w:tcPr>
          <w:p>
            <w:r>
              <w:rPr>
                <w:rFonts w:ascii="Calibri" w:cs="Calibri" w:eastAsia="Calibri" w:hAnsi="Calibri"/>
                <w:sz w:val="20"/>
                <w:szCs w:val="20"/>
              </w:rPr>
              <w:t xml:space="preserve">GenotypeLayoutProfile</w:t>
            </w:r>
          </w:p>
        </w:tc>
        <w:tc>
          <w:tcPr>
            <w:tcW w:type="dxa" w:w="4300"/>
          </w:tcPr>
          <w:p>
            <w:r>
              <w:rPr>
                <w:rFonts w:ascii="Calibri" w:cs="Calibri" w:eastAsia="Calibri" w:hAnsi="Calibri"/>
                <w:sz w:val="20"/>
                <w:szCs w:val="20"/>
              </w:rPr>
              <w:t xml:space="preserve">layout_kind (two_column_allele | single_column_genotype), length_distribution</w:t>
            </w:r>
          </w:p>
        </w:tc>
        <w:tc>
          <w:tcPr>
            <w:tcW w:type="dxa" w:w="2400"/>
          </w:tcPr>
          <w:p>
            <w:r>
              <w:rPr>
                <w:rFonts w:ascii="Calibri" w:cs="Calibri" w:eastAsia="Calibri" w:hAnsi="Calibri"/>
                <w:sz w:val="20"/>
                <w:szCs w:val="20"/>
              </w:rPr>
              <w:t xml:space="preserve">FR-11, OUT-8</w:t>
            </w:r>
          </w:p>
        </w:tc>
      </w:tr>
      <w:tr>
        <w:tc>
          <w:tcPr>
            <w:tcW w:type="dxa" w:w="2300"/>
          </w:tcPr>
          <w:p>
            <w:r>
              <w:rPr>
                <w:rFonts w:ascii="Calibri" w:cs="Calibri" w:eastAsia="Calibri" w:hAnsi="Calibri"/>
                <w:sz w:val="20"/>
                <w:szCs w:val="20"/>
              </w:rPr>
              <w:t xml:space="preserve">IndelHaploidProfile</w:t>
            </w:r>
          </w:p>
        </w:tc>
        <w:tc>
          <w:tcPr>
            <w:tcW w:type="dxa" w:w="4300"/>
          </w:tcPr>
          <w:p>
            <w:r>
              <w:rPr>
                <w:rFonts w:ascii="Calibri" w:cs="Calibri" w:eastAsia="Calibri" w:hAnsi="Calibri"/>
                <w:sz w:val="20"/>
                <w:szCs w:val="20"/>
              </w:rPr>
              <w:t xml:space="preserve">indel_token_counts (map), haploid_count, diploid_count (for sex/mito labels)</w:t>
            </w:r>
          </w:p>
        </w:tc>
        <w:tc>
          <w:tcPr>
            <w:tcW w:type="dxa" w:w="2400"/>
          </w:tcPr>
          <w:p>
            <w:r>
              <w:rPr>
                <w:rFonts w:ascii="Calibri" w:cs="Calibri" w:eastAsia="Calibri" w:hAnsi="Calibri"/>
                <w:sz w:val="20"/>
                <w:szCs w:val="20"/>
              </w:rPr>
              <w:t xml:space="preserve">FR-12, OUT-8</w:t>
            </w:r>
          </w:p>
        </w:tc>
      </w:tr>
      <w:tr>
        <w:tc>
          <w:tcPr>
            <w:tcW w:type="dxa" w:w="2300"/>
          </w:tcPr>
          <w:p>
            <w:r>
              <w:rPr>
                <w:rFonts w:ascii="Calibri" w:cs="Calibri" w:eastAsia="Calibri" w:hAnsi="Calibri"/>
                <w:sz w:val="20"/>
                <w:szCs w:val="20"/>
              </w:rPr>
              <w:t xml:space="preserve">OpenQuestion</w:t>
            </w:r>
          </w:p>
        </w:tc>
        <w:tc>
          <w:tcPr>
            <w:tcW w:type="dxa" w:w="4300"/>
          </w:tcPr>
          <w:p>
            <w:r>
              <w:rPr>
                <w:rFonts w:ascii="Calibri" w:cs="Calibri" w:eastAsia="Calibri" w:hAnsi="Calibri"/>
                <w:sz w:val="20"/>
                <w:szCs w:val="20"/>
              </w:rPr>
              <w:t xml:space="preserve">statement, related_finding_or_profile (optional reference)</w:t>
            </w:r>
          </w:p>
        </w:tc>
        <w:tc>
          <w:tcPr>
            <w:tcW w:type="dxa" w:w="2400"/>
          </w:tcPr>
          <w:p>
            <w:r>
              <w:rPr>
                <w:rFonts w:ascii="Calibri" w:cs="Calibri" w:eastAsia="Calibri" w:hAnsi="Calibri"/>
                <w:sz w:val="20"/>
                <w:szCs w:val="20"/>
              </w:rPr>
              <w:t xml:space="preserve">OUT-9, SRS Section 8.2</w:t>
            </w:r>
          </w:p>
        </w:tc>
      </w:tr>
      <w:tr>
        <w:tc>
          <w:tcPr>
            <w:tcW w:type="dxa" w:w="2300"/>
          </w:tcPr>
          <w:p>
            <w:r>
              <w:rPr>
                <w:rFonts w:ascii="Calibri" w:cs="Calibri" w:eastAsia="Calibri" w:hAnsi="Calibri"/>
                <w:sz w:val="20"/>
                <w:szCs w:val="20"/>
              </w:rPr>
              <w:t xml:space="preserve">ProfilingReport</w:t>
            </w:r>
          </w:p>
        </w:tc>
        <w:tc>
          <w:tcPr>
            <w:tcW w:type="dxa" w:w="4300"/>
          </w:tcPr>
          <w:p>
            <w:r>
              <w:rPr>
                <w:rFonts w:ascii="Calibri" w:cs="Calibri" w:eastAsia="Calibri" w:hAnsi="Calibri"/>
                <w:sz w:val="20"/>
                <w:szCs w:val="20"/>
              </w:rPr>
              <w:t xml:space="preserve">file_metadata, findings (list), profiles (list), open_questions (list), generated_at</w:t>
            </w:r>
          </w:p>
        </w:tc>
        <w:tc>
          <w:tcPr>
            <w:tcW w:type="dxa" w:w="2400"/>
          </w:tcPr>
          <w:p>
            <w:r>
              <w:rPr>
                <w:rFonts w:ascii="Calibri" w:cs="Calibri" w:eastAsia="Calibri" w:hAnsi="Calibri"/>
                <w:sz w:val="20"/>
                <w:szCs w:val="20"/>
              </w:rPr>
              <w:t xml:space="preserve">Section 7 (Output Specifications)</w:t>
            </w:r>
          </w:p>
        </w:tc>
      </w:tr>
    </w:tbl>
    <w:p>
      <w:pPr>
        <w:pBdr>
          <w:left w:val="single" w:color="D9822B" w:sz="12" w:space="4"/>
        </w:pBdr>
        <w:shd w:fill="FDF3E7" w:val="clear"/>
        <w:spacing w:after="150"/>
        <w:ind w:left="215"/>
      </w:pPr>
      <w:r>
        <w:rPr>
          <w:rFonts w:ascii="Calibri" w:cs="Calibri" w:eastAsia="Calibri" w:hAnsi="Calibri"/>
          <w:b/>
          <w:bCs/>
          <w:color w:val="9C5100"/>
        </w:rPr>
        <w:t xml:space="preserve">ASSUMPTION (not derived from SRS/EDA): </w:t>
      </w:r>
      <w:r>
        <w:rPr>
          <w:rFonts w:ascii="Calibri" w:cs="Calibri" w:eastAsia="Calibri" w:hAnsi="Calibri"/>
          <w:i/>
          <w:iCs/>
        </w:rPr>
        <w:t xml:space="preserve">Whether these are implemented as Python dataclasses, frozen dataclasses, NamedTuples, or another construct is an implementation choice deferred to the implementation phase; the architecture only fixes that they are immutable value-holders with no hidden I/O, since neither the SRS nor the EDA constrains this.</w:t>
      </w:r>
    </w:p>
    <w:p>
      <w:pPr>
        <w:pStyle w:val="Heading1"/>
        <w:spacing w:after="200" w:before="400"/>
      </w:pPr>
      <w:r>
        <w:t xml:space="preserve">9. Core Classes and Their Responsibilities</w:t>
      </w:r>
    </w:p>
    <w:p>
      <w:pPr>
        <w:spacing w:after="150"/>
      </w:pPr>
      <w:r>
        <w:rPr>
          <w:rFonts w:ascii="Calibri" w:cs="Calibri" w:eastAsia="Calibri" w:hAnsi="Calibri"/>
        </w:rPr>
        <w:t xml:space="preserve">Class names below denote design-time responsibilities, not code. Each maps to exactly one SRS requirement or a small cohesive group, in line with the Single Responsibility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shd w:fill="2F5496" w:val="clear"/>
          </w:tcPr>
          <w:p>
            <w:r>
              <w:rPr>
                <w:rFonts w:ascii="Calibri" w:cs="Calibri" w:eastAsia="Calibri" w:hAnsi="Calibri"/>
                <w:b/>
                <w:bCs/>
                <w:color w:val="FFFFFF"/>
                <w:sz w:val="20"/>
                <w:szCs w:val="20"/>
              </w:rPr>
              <w:t xml:space="preserve">Class (design-level)</w:t>
            </w:r>
          </w:p>
        </w:tc>
        <w:tc>
          <w:tcPr>
            <w:tcW w:type="dxa" w:w="4200"/>
            <w:shd w:fill="2F5496" w:val="clear"/>
          </w:tcPr>
          <w:p>
            <w:r>
              <w:rPr>
                <w:rFonts w:ascii="Calibri" w:cs="Calibri" w:eastAsia="Calibri" w:hAnsi="Calibri"/>
                <w:b/>
                <w:bCs/>
                <w:color w:val="FFFFFF"/>
                <w:sz w:val="20"/>
                <w:szCs w:val="20"/>
              </w:rPr>
              <w:t xml:space="preserve">Single Responsibility</w:t>
            </w:r>
          </w:p>
        </w:tc>
        <w:tc>
          <w:tcPr>
            <w:tcW w:type="dxa" w:w="1800"/>
            <w:shd w:fill="2F5496" w:val="clear"/>
          </w:tcPr>
          <w:p>
            <w:r>
              <w:rPr>
                <w:rFonts w:ascii="Calibri" w:cs="Calibri" w:eastAsia="Calibri" w:hAnsi="Calibri"/>
                <w:b/>
                <w:bCs/>
                <w:color w:val="FFFFFF"/>
                <w:sz w:val="20"/>
                <w:szCs w:val="20"/>
              </w:rPr>
              <w:t xml:space="preserve">Collaborators</w:t>
            </w:r>
          </w:p>
        </w:tc>
      </w:tr>
      <w:tr>
        <w:tc>
          <w:tcPr>
            <w:tcW w:type="dxa" w:w="3000"/>
          </w:tcPr>
          <w:p>
            <w:r>
              <w:rPr>
                <w:rFonts w:ascii="Calibri" w:cs="Calibri" w:eastAsia="Calibri" w:hAnsi="Calibri"/>
                <w:sz w:val="20"/>
                <w:szCs w:val="20"/>
              </w:rPr>
              <w:t xml:space="preserve">RawFileLoader</w:t>
            </w:r>
          </w:p>
        </w:tc>
        <w:tc>
          <w:tcPr>
            <w:tcW w:type="dxa" w:w="4200"/>
          </w:tcPr>
          <w:p>
            <w:r>
              <w:rPr>
                <w:rFonts w:ascii="Calibri" w:cs="Calibri" w:eastAsia="Calibri" w:hAnsi="Calibri"/>
                <w:sz w:val="20"/>
                <w:szCs w:val="20"/>
              </w:rPr>
              <w:t xml:space="preserve">Read a file's raw lines, read-only, exactly once.</w:t>
            </w:r>
          </w:p>
        </w:tc>
        <w:tc>
          <w:tcPr>
            <w:tcW w:type="dxa" w:w="1800"/>
          </w:tcPr>
          <w:p>
            <w:r>
              <w:rPr>
                <w:rFonts w:ascii="Calibri" w:cs="Calibri" w:eastAsia="Calibri" w:hAnsi="Calibri"/>
                <w:sz w:val="20"/>
                <w:szCs w:val="20"/>
              </w:rPr>
              <w:t xml:space="preserve">used by ProfileFileUseCase</w:t>
            </w:r>
          </w:p>
        </w:tc>
      </w:tr>
      <w:tr>
        <w:tc>
          <w:tcPr>
            <w:tcW w:type="dxa" w:w="3000"/>
          </w:tcPr>
          <w:p>
            <w:r>
              <w:rPr>
                <w:rFonts w:ascii="Calibri" w:cs="Calibri" w:eastAsia="Calibri" w:hAnsi="Calibri"/>
                <w:sz w:val="20"/>
                <w:szCs w:val="20"/>
              </w:rPr>
              <w:t xml:space="preserve">CommentDataSplitter</w:t>
            </w:r>
          </w:p>
        </w:tc>
        <w:tc>
          <w:tcPr>
            <w:tcW w:type="dxa" w:w="4200"/>
          </w:tcPr>
          <w:p>
            <w:r>
              <w:rPr>
                <w:rFonts w:ascii="Calibri" w:cs="Calibri" w:eastAsia="Calibri" w:hAnsi="Calibri"/>
                <w:sz w:val="20"/>
                <w:szCs w:val="20"/>
              </w:rPr>
              <w:t xml:space="preserve">Separate comment lines from data lines by prefix.</w:t>
            </w:r>
          </w:p>
        </w:tc>
        <w:tc>
          <w:tcPr>
            <w:tcW w:type="dxa" w:w="1800"/>
          </w:tcPr>
          <w:p>
            <w:r>
              <w:rPr>
                <w:rFonts w:ascii="Calibri" w:cs="Calibri" w:eastAsia="Calibri" w:hAnsi="Calibri"/>
                <w:sz w:val="20"/>
                <w:szCs w:val="20"/>
              </w:rPr>
              <w:t xml:space="preserve">consumes RawFileLoader output</w:t>
            </w:r>
          </w:p>
        </w:tc>
      </w:tr>
      <w:tr>
        <w:tc>
          <w:tcPr>
            <w:tcW w:type="dxa" w:w="3000"/>
          </w:tcPr>
          <w:p>
            <w:r>
              <w:rPr>
                <w:rFonts w:ascii="Calibri" w:cs="Calibri" w:eastAsia="Calibri" w:hAnsi="Calibri"/>
                <w:sz w:val="20"/>
                <w:szCs w:val="20"/>
              </w:rPr>
              <w:t xml:space="preserve">EncodingDetector</w:t>
            </w:r>
          </w:p>
        </w:tc>
        <w:tc>
          <w:tcPr>
            <w:tcW w:type="dxa" w:w="4200"/>
          </w:tcPr>
          <w:p>
            <w:r>
              <w:rPr>
                <w:rFonts w:ascii="Calibri" w:cs="Calibri" w:eastAsia="Calibri" w:hAnsi="Calibri"/>
                <w:sz w:val="20"/>
                <w:szCs w:val="20"/>
              </w:rPr>
              <w:t xml:space="preserve">Classify BOM presence and decodability of a byte sample.</w:t>
            </w:r>
          </w:p>
        </w:tc>
        <w:tc>
          <w:tcPr>
            <w:tcW w:type="dxa" w:w="1800"/>
          </w:tcPr>
          <w:p>
            <w:r>
              <w:rPr>
                <w:rFonts w:ascii="Calibri" w:cs="Calibri" w:eastAsia="Calibri" w:hAnsi="Calibri"/>
                <w:sz w:val="20"/>
                <w:szCs w:val="20"/>
              </w:rPr>
              <w:t xml:space="preserve">independent of line splitting</w:t>
            </w:r>
          </w:p>
        </w:tc>
      </w:tr>
      <w:tr>
        <w:tc>
          <w:tcPr>
            <w:tcW w:type="dxa" w:w="3000"/>
          </w:tcPr>
          <w:p>
            <w:r>
              <w:rPr>
                <w:rFonts w:ascii="Calibri" w:cs="Calibri" w:eastAsia="Calibri" w:hAnsi="Calibri"/>
                <w:sz w:val="20"/>
                <w:szCs w:val="20"/>
              </w:rPr>
              <w:t xml:space="preserve">DelimiterDetector</w:t>
            </w:r>
          </w:p>
        </w:tc>
        <w:tc>
          <w:tcPr>
            <w:tcW w:type="dxa" w:w="4200"/>
          </w:tcPr>
          <w:p>
            <w:r>
              <w:rPr>
                <w:rFonts w:ascii="Calibri" w:cs="Calibri" w:eastAsia="Calibri" w:hAnsi="Calibri"/>
                <w:sz w:val="20"/>
                <w:szCs w:val="20"/>
              </w:rPr>
              <w:t xml:space="preserve">Infer the field delimiter from a sample of data lines.</w:t>
            </w:r>
          </w:p>
        </w:tc>
        <w:tc>
          <w:tcPr>
            <w:tcW w:type="dxa" w:w="1800"/>
          </w:tcPr>
          <w:p>
            <w:r>
              <w:rPr>
                <w:rFonts w:ascii="Calibri" w:cs="Calibri" w:eastAsia="Calibri" w:hAnsi="Calibri"/>
                <w:sz w:val="20"/>
                <w:szCs w:val="20"/>
              </w:rPr>
              <w:t xml:space="preserve">feeds RowParser, HeaderResolver</w:t>
            </w:r>
          </w:p>
        </w:tc>
      </w:tr>
      <w:tr>
        <w:tc>
          <w:tcPr>
            <w:tcW w:type="dxa" w:w="3000"/>
          </w:tcPr>
          <w:p>
            <w:r>
              <w:rPr>
                <w:rFonts w:ascii="Calibri" w:cs="Calibri" w:eastAsia="Calibri" w:hAnsi="Calibri"/>
                <w:sz w:val="20"/>
                <w:szCs w:val="20"/>
              </w:rPr>
              <w:t xml:space="preserve">HeaderResolver</w:t>
            </w:r>
          </w:p>
        </w:tc>
        <w:tc>
          <w:tcPr>
            <w:tcW w:type="dxa" w:w="4200"/>
          </w:tcPr>
          <w:p>
            <w:r>
              <w:rPr>
                <w:rFonts w:ascii="Calibri" w:cs="Calibri" w:eastAsia="Calibri" w:hAnsi="Calibri"/>
                <w:sz w:val="20"/>
                <w:szCs w:val="20"/>
              </w:rPr>
              <w:t xml:space="preserve">Determine header form and resolved column names.</w:t>
            </w:r>
          </w:p>
        </w:tc>
        <w:tc>
          <w:tcPr>
            <w:tcW w:type="dxa" w:w="1800"/>
          </w:tcPr>
          <w:p>
            <w:r>
              <w:rPr>
                <w:rFonts w:ascii="Calibri" w:cs="Calibri" w:eastAsia="Calibri" w:hAnsi="Calibri"/>
                <w:sz w:val="20"/>
                <w:szCs w:val="20"/>
              </w:rPr>
              <w:t xml:space="preserve">feeds RowParser, all quality/profiling components needing column names</w:t>
            </w:r>
          </w:p>
        </w:tc>
      </w:tr>
      <w:tr>
        <w:tc>
          <w:tcPr>
            <w:tcW w:type="dxa" w:w="3000"/>
          </w:tcPr>
          <w:p>
            <w:r>
              <w:rPr>
                <w:rFonts w:ascii="Calibri" w:cs="Calibri" w:eastAsia="Calibri" w:hAnsi="Calibri"/>
                <w:sz w:val="20"/>
                <w:szCs w:val="20"/>
              </w:rPr>
              <w:t xml:space="preserve">RowParser</w:t>
            </w:r>
          </w:p>
        </w:tc>
        <w:tc>
          <w:tcPr>
            <w:tcW w:type="dxa" w:w="4200"/>
          </w:tcPr>
          <w:p>
            <w:r>
              <w:rPr>
                <w:rFonts w:ascii="Calibri" w:cs="Calibri" w:eastAsia="Calibri" w:hAnsi="Calibri"/>
                <w:sz w:val="20"/>
                <w:szCs w:val="20"/>
              </w:rPr>
              <w:t xml:space="preserve">Split each data line into a DataRow using the resolved delimiter.</w:t>
            </w:r>
          </w:p>
        </w:tc>
        <w:tc>
          <w:tcPr>
            <w:tcW w:type="dxa" w:w="1800"/>
          </w:tcPr>
          <w:p>
            <w:r>
              <w:rPr>
                <w:rFonts w:ascii="Calibri" w:cs="Calibri" w:eastAsia="Calibri" w:hAnsi="Calibri"/>
                <w:sz w:val="20"/>
                <w:szCs w:val="20"/>
              </w:rPr>
              <w:t xml:space="preserve">feeds all quality checks and profilers</w:t>
            </w:r>
          </w:p>
        </w:tc>
      </w:tr>
      <w:tr>
        <w:tc>
          <w:tcPr>
            <w:tcW w:type="dxa" w:w="3000"/>
          </w:tcPr>
          <w:p>
            <w:r>
              <w:rPr>
                <w:rFonts w:ascii="Calibri" w:cs="Calibri" w:eastAsia="Calibri" w:hAnsi="Calibri"/>
                <w:sz w:val="20"/>
                <w:szCs w:val="20"/>
              </w:rPr>
              <w:t xml:space="preserve">DuplicateHeaderCheck, MalformedRowCheck, MissingValueScanner, DuplicateRsidCheck, DuplicateChrPosCheck</w:t>
            </w:r>
          </w:p>
        </w:tc>
        <w:tc>
          <w:tcPr>
            <w:tcW w:type="dxa" w:w="4200"/>
          </w:tcPr>
          <w:p>
            <w:r>
              <w:rPr>
                <w:rFonts w:ascii="Calibri" w:cs="Calibri" w:eastAsia="Calibri" w:hAnsi="Calibri"/>
                <w:sz w:val="20"/>
                <w:szCs w:val="20"/>
              </w:rPr>
              <w:t xml:space="preserve">Each computes exactly one Finding from the DataRow collection (and HeaderInfo where relevant).</w:t>
            </w:r>
          </w:p>
        </w:tc>
        <w:tc>
          <w:tcPr>
            <w:tcW w:type="dxa" w:w="1800"/>
          </w:tcPr>
          <w:p>
            <w:r>
              <w:rPr>
                <w:rFonts w:ascii="Calibri" w:cs="Calibri" w:eastAsia="Calibri" w:hAnsi="Calibri"/>
                <w:sz w:val="20"/>
                <w:szCs w:val="20"/>
              </w:rPr>
              <w:t xml:space="preserve">implement QualityCheck interface; run by QualityCheckRunner</w:t>
            </w:r>
          </w:p>
        </w:tc>
      </w:tr>
      <w:tr>
        <w:tc>
          <w:tcPr>
            <w:tcW w:type="dxa" w:w="3000"/>
          </w:tcPr>
          <w:p>
            <w:r>
              <w:rPr>
                <w:rFonts w:ascii="Calibri" w:cs="Calibri" w:eastAsia="Calibri" w:hAnsi="Calibri"/>
                <w:sz w:val="20"/>
                <w:szCs w:val="20"/>
              </w:rPr>
              <w:t xml:space="preserve">QualityCheckRunner</w:t>
            </w:r>
          </w:p>
        </w:tc>
        <w:tc>
          <w:tcPr>
            <w:tcW w:type="dxa" w:w="4200"/>
          </w:tcPr>
          <w:p>
            <w:r>
              <w:rPr>
                <w:rFonts w:ascii="Calibri" w:cs="Calibri" w:eastAsia="Calibri" w:hAnsi="Calibri"/>
                <w:sz w:val="20"/>
                <w:szCs w:val="20"/>
              </w:rPr>
              <w:t xml:space="preserve">Execute the registered set of QualityCheck implementations and collect their Findings.</w:t>
            </w:r>
          </w:p>
        </w:tc>
        <w:tc>
          <w:tcPr>
            <w:tcW w:type="dxa" w:w="1800"/>
          </w:tcPr>
          <w:p>
            <w:r>
              <w:rPr>
                <w:rFonts w:ascii="Calibri" w:cs="Calibri" w:eastAsia="Calibri" w:hAnsi="Calibri"/>
                <w:sz w:val="20"/>
                <w:szCs w:val="20"/>
              </w:rPr>
              <w:t xml:space="preserve">application-layer coordination helper (not a domain concept itself)</w:t>
            </w:r>
          </w:p>
        </w:tc>
      </w:tr>
      <w:tr>
        <w:tc>
          <w:tcPr>
            <w:tcW w:type="dxa" w:w="3000"/>
          </w:tcPr>
          <w:p>
            <w:r>
              <w:rPr>
                <w:rFonts w:ascii="Calibri" w:cs="Calibri" w:eastAsia="Calibri" w:hAnsi="Calibri"/>
                <w:sz w:val="20"/>
                <w:szCs w:val="20"/>
              </w:rPr>
              <w:t xml:space="preserve">ChromosomeLabelProfiler, GenotypeLayoutClassifier, IndelHaploidClassifier</w:t>
            </w:r>
          </w:p>
        </w:tc>
        <w:tc>
          <w:tcPr>
            <w:tcW w:type="dxa" w:w="4200"/>
          </w:tcPr>
          <w:p>
            <w:r>
              <w:rPr>
                <w:rFonts w:ascii="Calibri" w:cs="Calibri" w:eastAsia="Calibri" w:hAnsi="Calibri"/>
                <w:sz w:val="20"/>
                <w:szCs w:val="20"/>
              </w:rPr>
              <w:t xml:space="preserve">Each computes exactly one genomic-notation Profile.</w:t>
            </w:r>
          </w:p>
        </w:tc>
        <w:tc>
          <w:tcPr>
            <w:tcW w:type="dxa" w:w="1800"/>
          </w:tcPr>
          <w:p>
            <w:r>
              <w:rPr>
                <w:rFonts w:ascii="Calibri" w:cs="Calibri" w:eastAsia="Calibri" w:hAnsi="Calibri"/>
                <w:sz w:val="20"/>
                <w:szCs w:val="20"/>
              </w:rPr>
              <w:t xml:space="preserve">implement GenomicProfiler interface; run by GenomicProfilingRunner</w:t>
            </w:r>
          </w:p>
        </w:tc>
      </w:tr>
      <w:tr>
        <w:tc>
          <w:tcPr>
            <w:tcW w:type="dxa" w:w="3000"/>
          </w:tcPr>
          <w:p>
            <w:r>
              <w:rPr>
                <w:rFonts w:ascii="Calibri" w:cs="Calibri" w:eastAsia="Calibri" w:hAnsi="Calibri"/>
                <w:sz w:val="20"/>
                <w:szCs w:val="20"/>
              </w:rPr>
              <w:t xml:space="preserve">OpenQuestionRegistry</w:t>
            </w:r>
          </w:p>
        </w:tc>
        <w:tc>
          <w:tcPr>
            <w:tcW w:type="dxa" w:w="4200"/>
          </w:tcPr>
          <w:p>
            <w:r>
              <w:rPr>
                <w:rFonts w:ascii="Calibri" w:cs="Calibri" w:eastAsia="Calibri" w:hAnsi="Calibri"/>
                <w:sz w:val="20"/>
                <w:szCs w:val="20"/>
              </w:rPr>
              <w:t xml:space="preserve">Hold the SRS-derived fixed set of open questions and select the ones applicable to a given file's observed structure.</w:t>
            </w:r>
          </w:p>
        </w:tc>
        <w:tc>
          <w:tcPr>
            <w:tcW w:type="dxa" w:w="1800"/>
          </w:tcPr>
          <w:p>
            <w:r>
              <w:rPr>
                <w:rFonts w:ascii="Calibri" w:cs="Calibri" w:eastAsia="Calibri" w:hAnsi="Calibri"/>
                <w:sz w:val="20"/>
                <w:szCs w:val="20"/>
              </w:rPr>
              <w:t xml:space="preserve">consulted by ReportBuilder</w:t>
            </w:r>
          </w:p>
        </w:tc>
      </w:tr>
      <w:tr>
        <w:tc>
          <w:tcPr>
            <w:tcW w:type="dxa" w:w="3000"/>
          </w:tcPr>
          <w:p>
            <w:r>
              <w:rPr>
                <w:rFonts w:ascii="Calibri" w:cs="Calibri" w:eastAsia="Calibri" w:hAnsi="Calibri"/>
                <w:sz w:val="20"/>
                <w:szCs w:val="20"/>
              </w:rPr>
              <w:t xml:space="preserve">ReportBuilder</w:t>
            </w:r>
          </w:p>
        </w:tc>
        <w:tc>
          <w:tcPr>
            <w:tcW w:type="dxa" w:w="4200"/>
          </w:tcPr>
          <w:p>
            <w:r>
              <w:rPr>
                <w:rFonts w:ascii="Calibri" w:cs="Calibri" w:eastAsia="Calibri" w:hAnsi="Calibri"/>
                <w:sz w:val="20"/>
                <w:szCs w:val="20"/>
              </w:rPr>
              <w:t xml:space="preserve">Assemble one ProfilingReport from all Findings, Profiles, file metadata, and applicable OpenQuestions.</w:t>
            </w:r>
          </w:p>
        </w:tc>
        <w:tc>
          <w:tcPr>
            <w:tcW w:type="dxa" w:w="1800"/>
          </w:tcPr>
          <w:p>
            <w:r>
              <w:rPr>
                <w:rFonts w:ascii="Calibri" w:cs="Calibri" w:eastAsia="Calibri" w:hAnsi="Calibri"/>
                <w:sz w:val="20"/>
                <w:szCs w:val="20"/>
              </w:rPr>
              <w:t xml:space="preserve">consumes outputs of all check/profiler runners</w:t>
            </w:r>
          </w:p>
        </w:tc>
      </w:tr>
      <w:tr>
        <w:tc>
          <w:tcPr>
            <w:tcW w:type="dxa" w:w="3000"/>
          </w:tcPr>
          <w:p>
            <w:r>
              <w:rPr>
                <w:rFonts w:ascii="Calibri" w:cs="Calibri" w:eastAsia="Calibri" w:hAnsi="Calibri"/>
                <w:sz w:val="20"/>
                <w:szCs w:val="20"/>
              </w:rPr>
              <w:t xml:space="preserve">ReportSerializer (interface) / JsonReportSerializer (V1 implementation)</w:t>
            </w:r>
          </w:p>
        </w:tc>
        <w:tc>
          <w:tcPr>
            <w:tcW w:type="dxa" w:w="4200"/>
          </w:tcPr>
          <w:p>
            <w:r>
              <w:rPr>
                <w:rFonts w:ascii="Calibri" w:cs="Calibri" w:eastAsia="Calibri" w:hAnsi="Calibri"/>
                <w:sz w:val="20"/>
                <w:szCs w:val="20"/>
              </w:rPr>
              <w:t xml:space="preserve">Convert a ProfilingReport into a persisted artifact.</w:t>
            </w:r>
          </w:p>
        </w:tc>
        <w:tc>
          <w:tcPr>
            <w:tcW w:type="dxa" w:w="1800"/>
          </w:tcPr>
          <w:p>
            <w:r>
              <w:rPr>
                <w:rFonts w:ascii="Calibri" w:cs="Calibri" w:eastAsia="Calibri" w:hAnsi="Calibri"/>
                <w:sz w:val="20"/>
                <w:szCs w:val="20"/>
              </w:rPr>
              <w:t xml:space="preserve">invoked by ProfileFileUseCase via the composition root</w:t>
            </w:r>
          </w:p>
        </w:tc>
      </w:tr>
      <w:tr>
        <w:tc>
          <w:tcPr>
            <w:tcW w:type="dxa" w:w="3000"/>
          </w:tcPr>
          <w:p>
            <w:r>
              <w:rPr>
                <w:rFonts w:ascii="Calibri" w:cs="Calibri" w:eastAsia="Calibri" w:hAnsi="Calibri"/>
                <w:sz w:val="20"/>
                <w:szCs w:val="20"/>
              </w:rPr>
              <w:t xml:space="preserve">ProfileFileUseCase</w:t>
            </w:r>
          </w:p>
        </w:tc>
        <w:tc>
          <w:tcPr>
            <w:tcW w:type="dxa" w:w="4200"/>
          </w:tcPr>
          <w:p>
            <w:r>
              <w:rPr>
                <w:rFonts w:ascii="Calibri" w:cs="Calibri" w:eastAsia="Calibri" w:hAnsi="Calibri"/>
                <w:sz w:val="20"/>
                <w:szCs w:val="20"/>
              </w:rPr>
              <w:t xml:space="preserve">Sequence the above for exactly one file, end to end.</w:t>
            </w:r>
          </w:p>
        </w:tc>
        <w:tc>
          <w:tcPr>
            <w:tcW w:type="dxa" w:w="1800"/>
          </w:tcPr>
          <w:p>
            <w:r>
              <w:rPr>
                <w:rFonts w:ascii="Calibri" w:cs="Calibri" w:eastAsia="Calibri" w:hAnsi="Calibri"/>
                <w:sz w:val="20"/>
                <w:szCs w:val="20"/>
              </w:rPr>
              <w:t xml:space="preserve">the sole orchestrator; depends only on interfaces</w:t>
            </w:r>
          </w:p>
        </w:tc>
      </w:tr>
    </w:tbl>
    <w:p>
      <w:pPr>
        <w:pStyle w:val="Heading1"/>
        <w:spacing w:after="200" w:before="400"/>
      </w:pPr>
      <w:r>
        <w:t xml:space="preserve">10. Interfaces Between Modules</w:t>
      </w:r>
    </w:p>
    <w:p>
      <w:pPr>
        <w:spacing w:after="150"/>
      </w:pPr>
      <w:r>
        <w:rPr>
          <w:rFonts w:ascii="Calibri" w:cs="Calibri" w:eastAsia="Calibri" w:hAnsi="Calibri"/>
        </w:rPr>
        <w:t xml:space="preserve">The domain layer defines a small set of ports (interfaces) so the application layer can be composed and tested against fakes, and so infrastructure can change without touching domain logic (Dependency Inversion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2F5496" w:val="clear"/>
          </w:tcPr>
          <w:p>
            <w:r>
              <w:rPr>
                <w:rFonts w:ascii="Calibri" w:cs="Calibri" w:eastAsia="Calibri" w:hAnsi="Calibri"/>
                <w:b/>
                <w:bCs/>
                <w:color w:val="FFFFFF"/>
                <w:sz w:val="20"/>
                <w:szCs w:val="20"/>
              </w:rPr>
              <w:t xml:space="preserve">Interface</w:t>
            </w:r>
          </w:p>
        </w:tc>
        <w:tc>
          <w:tcPr>
            <w:tcW w:type="dxa" w:w="4400"/>
            <w:shd w:fill="2F5496" w:val="clear"/>
          </w:tcPr>
          <w:p>
            <w:r>
              <w:rPr>
                <w:rFonts w:ascii="Calibri" w:cs="Calibri" w:eastAsia="Calibri" w:hAnsi="Calibri"/>
                <w:b/>
                <w:bCs/>
                <w:color w:val="FFFFFF"/>
                <w:sz w:val="20"/>
                <w:szCs w:val="20"/>
              </w:rPr>
              <w:t xml:space="preserve">Purpose</w:t>
            </w:r>
          </w:p>
        </w:tc>
        <w:tc>
          <w:tcPr>
            <w:tcW w:type="dxa" w:w="2400"/>
            <w:shd w:fill="2F5496" w:val="clear"/>
          </w:tcPr>
          <w:p>
            <w:r>
              <w:rPr>
                <w:rFonts w:ascii="Calibri" w:cs="Calibri" w:eastAsia="Calibri" w:hAnsi="Calibri"/>
                <w:b/>
                <w:bCs/>
                <w:color w:val="FFFFFF"/>
                <w:sz w:val="20"/>
                <w:szCs w:val="20"/>
              </w:rPr>
              <w:t xml:space="preserve">Implemented by (V1)</w:t>
            </w:r>
          </w:p>
        </w:tc>
      </w:tr>
      <w:tr>
        <w:tc>
          <w:tcPr>
            <w:tcW w:type="dxa" w:w="2200"/>
          </w:tcPr>
          <w:p>
            <w:r>
              <w:rPr>
                <w:rFonts w:ascii="Calibri" w:cs="Calibri" w:eastAsia="Calibri" w:hAnsi="Calibri"/>
                <w:sz w:val="20"/>
                <w:szCs w:val="20"/>
              </w:rPr>
              <w:t xml:space="preserve">Detector[T]</w:t>
            </w:r>
          </w:p>
        </w:tc>
        <w:tc>
          <w:tcPr>
            <w:tcW w:type="dxa" w:w="4400"/>
          </w:tcPr>
          <w:p>
            <w:r>
              <w:rPr>
                <w:rFonts w:ascii="Calibri" w:cs="Calibri" w:eastAsia="Calibri" w:hAnsi="Calibri"/>
                <w:sz w:val="20"/>
                <w:szCs w:val="20"/>
              </w:rPr>
              <w:t xml:space="preserve">Given raw input (bytes or lines), produce a detected value-object (EncodingProfile, Delimiter, HeaderInfo).</w:t>
            </w:r>
          </w:p>
        </w:tc>
        <w:tc>
          <w:tcPr>
            <w:tcW w:type="dxa" w:w="2400"/>
          </w:tcPr>
          <w:p>
            <w:r>
              <w:rPr>
                <w:rFonts w:ascii="Calibri" w:cs="Calibri" w:eastAsia="Calibri" w:hAnsi="Calibri"/>
                <w:sz w:val="20"/>
                <w:szCs w:val="20"/>
              </w:rPr>
              <w:t xml:space="preserve">EncodingDetector, DelimiterDetector, HeaderResolver</w:t>
            </w:r>
          </w:p>
        </w:tc>
      </w:tr>
      <w:tr>
        <w:tc>
          <w:tcPr>
            <w:tcW w:type="dxa" w:w="2200"/>
          </w:tcPr>
          <w:p>
            <w:r>
              <w:rPr>
                <w:rFonts w:ascii="Calibri" w:cs="Calibri" w:eastAsia="Calibri" w:hAnsi="Calibri"/>
                <w:sz w:val="20"/>
                <w:szCs w:val="20"/>
              </w:rPr>
              <w:t xml:space="preserve">QualityCheck</w:t>
            </w:r>
          </w:p>
        </w:tc>
        <w:tc>
          <w:tcPr>
            <w:tcW w:type="dxa" w:w="4400"/>
          </w:tcPr>
          <w:p>
            <w:r>
              <w:rPr>
                <w:rFonts w:ascii="Calibri" w:cs="Calibri" w:eastAsia="Calibri" w:hAnsi="Calibri"/>
                <w:sz w:val="20"/>
                <w:szCs w:val="20"/>
              </w:rPr>
              <w:t xml:space="preserve">Given DataRows (+ context), produce exactly one Finding.</w:t>
            </w:r>
          </w:p>
        </w:tc>
        <w:tc>
          <w:tcPr>
            <w:tcW w:type="dxa" w:w="2400"/>
          </w:tcPr>
          <w:p>
            <w:r>
              <w:rPr>
                <w:rFonts w:ascii="Calibri" w:cs="Calibri" w:eastAsia="Calibri" w:hAnsi="Calibri"/>
                <w:sz w:val="20"/>
                <w:szCs w:val="20"/>
              </w:rPr>
              <w:t xml:space="preserve">DuplicateHeaderCheck, MalformedRowCheck, MissingValueScanner, DuplicateRsidCheck, DuplicateChrPosCheck</w:t>
            </w:r>
          </w:p>
        </w:tc>
      </w:tr>
      <w:tr>
        <w:tc>
          <w:tcPr>
            <w:tcW w:type="dxa" w:w="2200"/>
          </w:tcPr>
          <w:p>
            <w:r>
              <w:rPr>
                <w:rFonts w:ascii="Calibri" w:cs="Calibri" w:eastAsia="Calibri" w:hAnsi="Calibri"/>
                <w:sz w:val="20"/>
                <w:szCs w:val="20"/>
              </w:rPr>
              <w:t xml:space="preserve">GenomicProfiler</w:t>
            </w:r>
          </w:p>
        </w:tc>
        <w:tc>
          <w:tcPr>
            <w:tcW w:type="dxa" w:w="4400"/>
          </w:tcPr>
          <w:p>
            <w:r>
              <w:rPr>
                <w:rFonts w:ascii="Calibri" w:cs="Calibri" w:eastAsia="Calibri" w:hAnsi="Calibri"/>
                <w:sz w:val="20"/>
                <w:szCs w:val="20"/>
              </w:rPr>
              <w:t xml:space="preserve">Given DataRows (+ column layout), produce exactly one Profile.</w:t>
            </w:r>
          </w:p>
        </w:tc>
        <w:tc>
          <w:tcPr>
            <w:tcW w:type="dxa" w:w="2400"/>
          </w:tcPr>
          <w:p>
            <w:r>
              <w:rPr>
                <w:rFonts w:ascii="Calibri" w:cs="Calibri" w:eastAsia="Calibri" w:hAnsi="Calibri"/>
                <w:sz w:val="20"/>
                <w:szCs w:val="20"/>
              </w:rPr>
              <w:t xml:space="preserve">ChromosomeLabelProfiler, GenotypeLayoutClassifier, IndelHaploidClassifier</w:t>
            </w:r>
          </w:p>
        </w:tc>
      </w:tr>
      <w:tr>
        <w:tc>
          <w:tcPr>
            <w:tcW w:type="dxa" w:w="2200"/>
          </w:tcPr>
          <w:p>
            <w:r>
              <w:rPr>
                <w:rFonts w:ascii="Calibri" w:cs="Calibri" w:eastAsia="Calibri" w:hAnsi="Calibri"/>
                <w:sz w:val="20"/>
                <w:szCs w:val="20"/>
              </w:rPr>
              <w:t xml:space="preserve">ReportSerializer</w:t>
            </w:r>
          </w:p>
        </w:tc>
        <w:tc>
          <w:tcPr>
            <w:tcW w:type="dxa" w:w="4400"/>
          </w:tcPr>
          <w:p>
            <w:r>
              <w:rPr>
                <w:rFonts w:ascii="Calibri" w:cs="Calibri" w:eastAsia="Calibri" w:hAnsi="Calibri"/>
                <w:sz w:val="20"/>
                <w:szCs w:val="20"/>
              </w:rPr>
              <w:t xml:space="preserve">Given a ProfilingReport, persist it as an artifact and return a reference to it.</w:t>
            </w:r>
          </w:p>
        </w:tc>
        <w:tc>
          <w:tcPr>
            <w:tcW w:type="dxa" w:w="2400"/>
          </w:tcPr>
          <w:p>
            <w:r>
              <w:rPr>
                <w:rFonts w:ascii="Calibri" w:cs="Calibri" w:eastAsia="Calibri" w:hAnsi="Calibri"/>
                <w:sz w:val="20"/>
                <w:szCs w:val="20"/>
              </w:rPr>
              <w:t xml:space="preserve">JsonReportSerializer</w:t>
            </w:r>
          </w:p>
        </w:tc>
      </w:tr>
      <w:tr>
        <w:tc>
          <w:tcPr>
            <w:tcW w:type="dxa" w:w="2200"/>
          </w:tcPr>
          <w:p>
            <w:r>
              <w:rPr>
                <w:rFonts w:ascii="Calibri" w:cs="Calibri" w:eastAsia="Calibri" w:hAnsi="Calibri"/>
                <w:sz w:val="20"/>
                <w:szCs w:val="20"/>
              </w:rPr>
              <w:t xml:space="preserve">ConfigProvider</w:t>
            </w:r>
          </w:p>
        </w:tc>
        <w:tc>
          <w:tcPr>
            <w:tcW w:type="dxa" w:w="4400"/>
          </w:tcPr>
          <w:p>
            <w:r>
              <w:rPr>
                <w:rFonts w:ascii="Calibri" w:cs="Calibri" w:eastAsia="Calibri" w:hAnsi="Calibri"/>
                <w:sz w:val="20"/>
                <w:szCs w:val="20"/>
              </w:rPr>
              <w:t xml:space="preserve">Supply run configuration values (comment prefix, header keyword, output path, log level) to components that need them.</w:t>
            </w:r>
          </w:p>
        </w:tc>
        <w:tc>
          <w:tcPr>
            <w:tcW w:type="dxa" w:w="2400"/>
          </w:tcPr>
          <w:p>
            <w:r>
              <w:rPr>
                <w:rFonts w:ascii="Calibri" w:cs="Calibri" w:eastAsia="Calibri" w:hAnsi="Calibri"/>
                <w:sz w:val="20"/>
                <w:szCs w:val="20"/>
              </w:rPr>
              <w:t xml:space="preserve">ConfigLoader (infrastructure)</w:t>
            </w:r>
          </w:p>
        </w:tc>
      </w:tr>
    </w:tbl>
    <w:p>
      <w:pPr>
        <w:spacing w:after="150"/>
      </w:pPr>
      <w:r>
        <w:rPr>
          <w:rFonts w:ascii="Calibri" w:cs="Calibri" w:eastAsia="Calibri" w:hAnsi="Calibri"/>
        </w:rPr>
        <w:t xml:space="preserve">All quality checks share the QualityCheck interface and all profilers share the GenomicProfiler interface, so ProfileFileUseCase can iterate over a configured list of each without knowing concrete types. This is what allows a future check or profiler to be added by registering a new implementation, without modifying the orchestrator (Open/Closed Principle).</w:t>
      </w:r>
    </w:p>
    <w:p>
      <w:pPr>
        <w:spacing w:after="150"/>
      </w:pPr>
      <w:r>
        <w:rPr>
          <w:rFonts w:ascii="Calibri" w:cs="Calibri" w:eastAsia="Calibri" w:hAnsi="Calibri"/>
        </w:rPr>
        <w:t xml:space="preserve">Cross-module contracts are expressed as plain data in and plain data out — no interface passes a mutable file handle or shared state across module boundaries; only RawFileLoader touches the filesystem.</w:t>
      </w:r>
    </w:p>
    <w:p>
      <w:pPr>
        <w:pStyle w:val="Heading1"/>
        <w:spacing w:after="200" w:before="400"/>
      </w:pPr>
      <w:r>
        <w:t xml:space="preserve">11. Configuration Management Strategy</w:t>
      </w:r>
    </w:p>
    <w:p>
      <w:pPr>
        <w:spacing w:after="150"/>
      </w:pPr>
      <w:r>
        <w:rPr>
          <w:rFonts w:ascii="Calibri" w:cs="Calibri" w:eastAsia="Calibri" w:hAnsi="Calibri"/>
        </w:rPr>
        <w:t xml:space="preserve">Because NFR-5 ("Neutrality across input layout") explicitly forbids hard-coding assumptions that hold for only one evidenced file, several structural parameters must be configurable per run rather than fixed as constants in domain code:</w:t>
      </w:r>
    </w:p>
    <w:p>
      <w:pPr>
        <w:pStyle w:val="ListParagraph"/>
        <w:numPr>
          <w:ilvl w:val="0"/>
          <w:numId w:val="2"/>
        </w:numPr>
        <w:spacing w:after="80"/>
      </w:pPr>
      <w:r>
        <w:rPr>
          <w:rFonts w:ascii="Calibri" w:cs="Calibri" w:eastAsia="Calibri" w:hAnsi="Calibri"/>
        </w:rPr>
        <w:t xml:space="preserve">comment_prefix — default '#', overridable per run.</w:t>
      </w:r>
    </w:p>
    <w:p>
      <w:pPr>
        <w:pStyle w:val="ListParagraph"/>
        <w:numPr>
          <w:ilvl w:val="0"/>
          <w:numId w:val="2"/>
        </w:numPr>
        <w:spacing w:after="80"/>
      </w:pPr>
      <w:r>
        <w:rPr>
          <w:rFonts w:ascii="Calibri" w:cs="Calibri" w:eastAsia="Calibri" w:hAnsi="Calibri"/>
        </w:rPr>
        <w:t xml:space="preserve">header_keyword — the token used to recognize a header line (default 'rsid'), overridable.</w:t>
      </w:r>
    </w:p>
    <w:p>
      <w:pPr>
        <w:pStyle w:val="ListParagraph"/>
        <w:numPr>
          <w:ilvl w:val="0"/>
          <w:numId w:val="2"/>
        </w:numPr>
        <w:spacing w:after="80"/>
      </w:pPr>
      <w:r>
        <w:rPr>
          <w:rFonts w:ascii="Calibri" w:cs="Calibri" w:eastAsia="Calibri" w:hAnsi="Calibri"/>
        </w:rPr>
        <w:t xml:space="preserve">output_location — where the per-file ProfilingReport artifact is written.</w:t>
      </w:r>
    </w:p>
    <w:p>
      <w:pPr>
        <w:pStyle w:val="ListParagraph"/>
        <w:numPr>
          <w:ilvl w:val="0"/>
          <w:numId w:val="2"/>
        </w:numPr>
        <w:spacing w:after="80"/>
      </w:pPr>
      <w:r>
        <w:rPr>
          <w:rFonts w:ascii="Calibri" w:cs="Calibri" w:eastAsia="Calibri" w:hAnsi="Calibri"/>
        </w:rPr>
        <w:t xml:space="preserve">logging_level — verbosity of structured logs (see Section 12).</w:t>
      </w:r>
    </w:p>
    <w:p>
      <w:pPr>
        <w:pStyle w:val="ListParagraph"/>
        <w:numPr>
          <w:ilvl w:val="0"/>
          <w:numId w:val="2"/>
        </w:numPr>
        <w:spacing w:after="80"/>
      </w:pPr>
      <w:r>
        <w:rPr>
          <w:rFonts w:ascii="Calibri" w:cs="Calibri" w:eastAsia="Calibri" w:hAnsi="Calibri"/>
        </w:rPr>
        <w:t xml:space="preserve">sample_size parameters used by detectors (e.g. how many lines/bytes to sample for delimiter/encoding detection), so detection cost is bounded but tunable against the evidenced file sizes (NFR-1).</w:t>
      </w:r>
    </w:p>
    <w:p>
      <w:pPr>
        <w:spacing w:after="150"/>
      </w:pPr>
      <w:r>
        <w:rPr>
          <w:rFonts w:ascii="Calibri" w:cs="Calibri" w:eastAsia="Calibri" w:hAnsi="Calibri"/>
        </w:rPr>
        <w:t xml:space="preserve">Configuration is loaded once per run by ConfigProvider and passed into the composition root, which injects the relevant values into each component that needs them. Domain components never read configuration directly from environment variables or global state — they receive already-resolved values as constructor/function arguments, keeping them free of I/O and easy to unit test.</w:t>
      </w:r>
    </w:p>
    <w:p>
      <w:pPr>
        <w:pBdr>
          <w:left w:val="single" w:color="D9822B" w:sz="12" w:space="4"/>
        </w:pBdr>
        <w:shd w:fill="FDF3E7" w:val="clear"/>
        <w:spacing w:after="150"/>
        <w:ind w:left="215"/>
      </w:pPr>
      <w:r>
        <w:rPr>
          <w:rFonts w:ascii="Calibri" w:cs="Calibri" w:eastAsia="Calibri" w:hAnsi="Calibri"/>
          <w:b/>
          <w:bCs/>
          <w:color w:val="9C5100"/>
        </w:rPr>
        <w:t xml:space="preserve">ASSUMPTION (not derived from SRS/EDA): </w:t>
      </w:r>
      <w:r>
        <w:rPr>
          <w:rFonts w:ascii="Calibri" w:cs="Calibri" w:eastAsia="Calibri" w:hAnsi="Calibri"/>
          <w:i/>
          <w:iCs/>
        </w:rPr>
        <w:t xml:space="preserve">The SRS does not specify a configuration file format or mechanism. This architecture assumes a simple, human-readable configuration file (e.g. YAML or JSON) plus command-line overrides, since this is a common, low-risk default for a thesis-scale project — not a requirement from the SRS or EDA.</w:t>
      </w:r>
    </w:p>
    <w:p>
      <w:pPr>
        <w:pStyle w:val="Heading1"/>
        <w:spacing w:after="200" w:before="400"/>
      </w:pPr>
      <w:r>
        <w:t xml:space="preserve">12. Logging Strategy</w:t>
      </w:r>
    </w:p>
    <w:p>
      <w:pPr>
        <w:spacing w:after="150"/>
      </w:pPr>
      <w:r>
        <w:rPr>
          <w:rFonts w:ascii="Calibri" w:cs="Calibri" w:eastAsia="Calibri" w:hAnsi="Calibri"/>
        </w:rPr>
        <w:t xml:space="preserve">Logging exists primarily to satisfy NFR-6 (traceability): every Finding and Profile must be attributable to a specific, named check or profiler.</w:t>
      </w:r>
    </w:p>
    <w:p>
      <w:pPr>
        <w:pStyle w:val="ListParagraph"/>
        <w:numPr>
          <w:ilvl w:val="0"/>
          <w:numId w:val="2"/>
        </w:numPr>
        <w:spacing w:after="80"/>
      </w:pPr>
      <w:r>
        <w:rPr>
          <w:rFonts w:ascii="Calibri" w:cs="Calibri" w:eastAsia="Calibri" w:hAnsi="Calibri"/>
        </w:rPr>
        <w:t xml:space="preserve">Each QualityCheck and GenomicProfiler logs, at INFO level, its own name, the file identifier (path or a non-sensitive file label), and a summary count when it completes (e.g. "DuplicateChrPosCheck: 614 duplicate pairs found").</w:t>
      </w:r>
    </w:p>
    <w:p>
      <w:pPr>
        <w:pStyle w:val="ListParagraph"/>
        <w:numPr>
          <w:ilvl w:val="0"/>
          <w:numId w:val="2"/>
        </w:numPr>
        <w:spacing w:after="80"/>
      </w:pPr>
      <w:r>
        <w:rPr>
          <w:rFonts w:ascii="Calibri" w:cs="Calibri" w:eastAsia="Calibri" w:hAnsi="Calibri"/>
        </w:rPr>
        <w:t xml:space="preserve">Ingestion-stage steps (file load, comment/data split, delimiter/encoding/header detection) log at INFO level with the detected value, so the empirical basis of every downstream step is visible in the log trail (supports OBJ-2).</w:t>
      </w:r>
    </w:p>
    <w:p>
      <w:pPr>
        <w:pStyle w:val="ListParagraph"/>
        <w:numPr>
          <w:ilvl w:val="0"/>
          <w:numId w:val="2"/>
        </w:numPr>
        <w:spacing w:after="80"/>
      </w:pPr>
      <w:r>
        <w:rPr>
          <w:rFonts w:ascii="Calibri" w:cs="Calibri" w:eastAsia="Calibri" w:hAnsi="Calibri"/>
        </w:rPr>
        <w:t xml:space="preserve">Unexpected or exceptional conditions (see Section 13) are logged at ERROR level with enough context to diagnose the failure, but without dumping raw genotype/allele values.</w:t>
      </w:r>
    </w:p>
    <w:p>
      <w:pPr>
        <w:pStyle w:val="ListParagraph"/>
        <w:numPr>
          <w:ilvl w:val="0"/>
          <w:numId w:val="2"/>
        </w:numPr>
        <w:spacing w:after="80"/>
      </w:pPr>
      <w:r>
        <w:rPr>
          <w:rFonts w:ascii="Calibri" w:cs="Calibri" w:eastAsia="Calibri" w:hAnsi="Calibri"/>
        </w:rPr>
        <w:t xml:space="preserve">DEBUG level may include small, bounded examples (e.g. up to N example duplicate RSIDs) strictly for developer diagnosis, gated behind explicit opt-in, given the sensitivity of the underlying data (NFR-4).</w:t>
      </w:r>
    </w:p>
    <w:p>
      <w:pPr>
        <w:pBdr>
          <w:left w:val="single" w:color="D9822B" w:sz="12" w:space="4"/>
        </w:pBdr>
        <w:shd w:fill="FDF3E7" w:val="clear"/>
        <w:spacing w:after="150"/>
        <w:ind w:left="215"/>
      </w:pPr>
      <w:r>
        <w:rPr>
          <w:rFonts w:ascii="Calibri" w:cs="Calibri" w:eastAsia="Calibri" w:hAnsi="Calibri"/>
          <w:b/>
          <w:bCs/>
          <w:color w:val="9C5100"/>
        </w:rPr>
        <w:t xml:space="preserve">ASSUMPTION (not derived from SRS/EDA): </w:t>
      </w:r>
      <w:r>
        <w:rPr>
          <w:rFonts w:ascii="Calibri" w:cs="Calibri" w:eastAsia="Calibri" w:hAnsi="Calibri"/>
          <w:i/>
          <w:iCs/>
        </w:rPr>
        <w:t xml:space="preserve">The SRS states data sensitivity as a property to be respected (NFR-4) but does not specify a logging policy. This architecture assumes that full row contents and raw allele/genotype values should not be written to logs by default; only counts, labels, and small illustrative samples should appear, and only at elevated verbosity. This is a precautionary architectural choice, not an SRS-derived requirement.</w:t>
      </w:r>
    </w:p>
    <w:p>
      <w:pPr>
        <w:pStyle w:val="Heading1"/>
        <w:spacing w:after="200" w:before="400"/>
      </w:pPr>
      <w:r>
        <w:t xml:space="preserve">13. Error-Handling Strategy</w:t>
      </w:r>
    </w:p>
    <w:p>
      <w:pPr>
        <w:spacing w:after="150"/>
      </w:pPr>
      <w:r>
        <w:rPr>
          <w:rFonts w:ascii="Calibri" w:cs="Calibri" w:eastAsia="Calibri" w:hAnsi="Calibri"/>
        </w:rPr>
        <w:t xml:space="preserve">The architecture distinguishes two categories of "problem", because the SRS itself distinguishes reporting duplicates/malformed rows (which are expected, first-class findings) from genuine ingestion failures (which are not modeled by the SRS as findings).</w:t>
      </w:r>
    </w:p>
    <w:p>
      <w:pPr>
        <w:pStyle w:val="Heading2"/>
        <w:spacing w:after="150" w:before="300"/>
      </w:pPr>
      <w:r>
        <w:t xml:space="preserve">13.1 Structural/Infrastructure Errors (exceptions)</w:t>
      </w:r>
    </w:p>
    <w:p>
      <w:pPr>
        <w:pStyle w:val="ListParagraph"/>
        <w:numPr>
          <w:ilvl w:val="0"/>
          <w:numId w:val="2"/>
        </w:numPr>
        <w:spacing w:after="80"/>
      </w:pPr>
      <w:r>
        <w:rPr>
          <w:rFonts w:ascii="Calibri" w:cs="Calibri" w:eastAsia="Calibri" w:hAnsi="Calibri"/>
        </w:rPr>
        <w:t xml:space="preserve">File not found, unreadable, or empty.</w:t>
      </w:r>
    </w:p>
    <w:p>
      <w:pPr>
        <w:pStyle w:val="ListParagraph"/>
        <w:numPr>
          <w:ilvl w:val="0"/>
          <w:numId w:val="2"/>
        </w:numPr>
        <w:spacing w:after="80"/>
      </w:pPr>
      <w:r>
        <w:rPr>
          <w:rFonts w:ascii="Calibri" w:cs="Calibri" w:eastAsia="Calibri" w:hAnsi="Calibri"/>
        </w:rPr>
        <w:t xml:space="preserve">File cannot be decoded under any candidate encoding examined by EncodingDetector.</w:t>
      </w:r>
    </w:p>
    <w:p>
      <w:pPr>
        <w:pStyle w:val="ListParagraph"/>
        <w:numPr>
          <w:ilvl w:val="0"/>
          <w:numId w:val="2"/>
        </w:numPr>
        <w:spacing w:after="80"/>
      </w:pPr>
      <w:r>
        <w:rPr>
          <w:rFonts w:ascii="Calibri" w:cs="Calibri" w:eastAsia="Calibri" w:hAnsi="Calibri"/>
        </w:rPr>
        <w:t xml:space="preserve">No delimiter can be confidently detected.</w:t>
      </w:r>
    </w:p>
    <w:p>
      <w:pPr>
        <w:pStyle w:val="ListParagraph"/>
        <w:numPr>
          <w:ilvl w:val="0"/>
          <w:numId w:val="2"/>
        </w:numPr>
        <w:spacing w:after="80"/>
      </w:pPr>
      <w:r>
        <w:rPr>
          <w:rFonts w:ascii="Calibri" w:cs="Calibri" w:eastAsia="Calibri" w:hAnsi="Calibri"/>
        </w:rPr>
        <w:t xml:space="preserve">Any unexpected filesystem or I/O failure during read.</w:t>
      </w:r>
    </w:p>
    <w:p>
      <w:pPr>
        <w:spacing w:after="150"/>
      </w:pPr>
      <w:r>
        <w:rPr>
          <w:rFonts w:ascii="Calibri" w:cs="Calibri" w:eastAsia="Calibri" w:hAnsi="Calibri"/>
        </w:rPr>
        <w:t xml:space="preserve">These are raised as a small, typed exception hierarchy (e.g. a base PhenoPredIngestionError with specific subclasses) and propagate up to ProfileFileUseCase, which logs the error and reports a clear failure for that file without crashing a batch run over multiple files — one file's ingestion failure must not prevent independent processing of another file (consistent with per-file independence, FR-15).</w:t>
      </w:r>
    </w:p>
    <w:p>
      <w:pPr>
        <w:pStyle w:val="Heading2"/>
        <w:spacing w:after="150" w:before="300"/>
      </w:pPr>
      <w:r>
        <w:t xml:space="preserve">13.2 Data-Quality Observations (never exceptions)</w:t>
      </w:r>
    </w:p>
    <w:p>
      <w:pPr>
        <w:pStyle w:val="ListParagraph"/>
        <w:numPr>
          <w:ilvl w:val="0"/>
          <w:numId w:val="2"/>
        </w:numPr>
        <w:spacing w:after="80"/>
      </w:pPr>
      <w:r>
        <w:rPr>
          <w:rFonts w:ascii="Calibri" w:cs="Calibri" w:eastAsia="Calibri" w:hAnsi="Calibri"/>
        </w:rPr>
        <w:t xml:space="preserve">Malformed/ragged rows, duplicate headers, duplicate RSIDs, duplicate chromosome-position pairs, and missing-value tokens are always represented as Finding data, never raised as exceptions — the SRS explicitly treats these as things to report, not conditions that should halt processing (Section 4 preamble; FR-5 through FR-9).</w:t>
      </w:r>
    </w:p>
    <w:p>
      <w:pPr>
        <w:pStyle w:val="ListParagraph"/>
        <w:numPr>
          <w:ilvl w:val="0"/>
          <w:numId w:val="2"/>
        </w:numPr>
        <w:spacing w:after="80"/>
      </w:pPr>
      <w:r>
        <w:rPr>
          <w:rFonts w:ascii="Calibri" w:cs="Calibri" w:eastAsia="Calibri" w:hAnsi="Calibri"/>
        </w:rPr>
        <w:t xml:space="preserve">A file containing many such findings is not itself an error condition for the system; the ProfilingReport simply contains more Findings.</w:t>
      </w:r>
    </w:p>
    <w:p>
      <w:pPr>
        <w:spacing w:after="150"/>
      </w:pPr>
      <w:r>
        <w:rPr>
          <w:rFonts w:ascii="Calibri" w:cs="Calibri" w:eastAsia="Calibri" w:hAnsi="Calibri"/>
        </w:rPr>
        <w:t xml:space="preserve">This split keeps the "is something wrong with the file as a whole" decision (infrastructure) cleanly separate from "what does the data look like" (domain findings), avoiding the common anti-pattern of using exceptions for expected, countable conditions.</w:t>
      </w:r>
    </w:p>
    <w:p>
      <w:pPr>
        <w:pStyle w:val="Heading1"/>
        <w:spacing w:after="200" w:before="400"/>
      </w:pPr>
      <w:r>
        <w:t xml:space="preserve">14. Validation Strategy</w:t>
      </w:r>
    </w:p>
    <w:p>
      <w:pPr>
        <w:spacing w:after="150"/>
      </w:pPr>
      <w:r>
        <w:rPr>
          <w:rFonts w:ascii="Calibri" w:cs="Calibri" w:eastAsia="Calibri" w:hAnsi="Calibri"/>
        </w:rPr>
        <w:t xml:space="preserve">"Validation" here means structural validation as scoped by the SRS — never biological, medical, or cross-file validation, which are explicitly out of scope (SRS Section 11).</w:t>
      </w:r>
    </w:p>
    <w:p>
      <w:pPr>
        <w:pStyle w:val="ListParagraph"/>
        <w:numPr>
          <w:ilvl w:val="0"/>
          <w:numId w:val="2"/>
        </w:numPr>
        <w:spacing w:after="80"/>
      </w:pPr>
      <w:r>
        <w:rPr>
          <w:rFonts w:ascii="Calibri" w:cs="Calibri" w:eastAsia="Calibri" w:hAnsi="Calibri"/>
        </w:rPr>
        <w:t xml:space="preserve">Pre-condition validation: before parsing rows, the pipeline confirms a delimiter and header form were successfully resolved; if not, this becomes a structural/infrastructure error (Section 13.1).</w:t>
      </w:r>
    </w:p>
    <w:p>
      <w:pPr>
        <w:pStyle w:val="ListParagraph"/>
        <w:numPr>
          <w:ilvl w:val="0"/>
          <w:numId w:val="2"/>
        </w:numPr>
        <w:spacing w:after="80"/>
      </w:pPr>
      <w:r>
        <w:rPr>
          <w:rFonts w:ascii="Calibri" w:cs="Calibri" w:eastAsia="Calibri" w:hAnsi="Calibri"/>
        </w:rPr>
        <w:t xml:space="preserve">Per-row structural validation: MalformedRowCheck validates row shape against the file's own modal column count (FR-5) — validation is always relative to the file itself, never to an externally imposed fixed schema (NFR-5).</w:t>
      </w:r>
    </w:p>
    <w:p>
      <w:pPr>
        <w:pStyle w:val="ListParagraph"/>
        <w:numPr>
          <w:ilvl w:val="0"/>
          <w:numId w:val="2"/>
        </w:numPr>
        <w:spacing w:after="80"/>
      </w:pPr>
      <w:r>
        <w:rPr>
          <w:rFonts w:ascii="Calibri" w:cs="Calibri" w:eastAsia="Calibri" w:hAnsi="Calibri"/>
        </w:rPr>
        <w:t xml:space="preserve">Token-level observation, not validation: MissingValueScanner records literal value frequencies without asserting which tokens "count" as missing beyond what a file's own header documents (FR-6) — this is intentionally an observation, not a pass/fail validation, per the SRS's own framing.</w:t>
      </w:r>
    </w:p>
    <w:p>
      <w:pPr>
        <w:pStyle w:val="ListParagraph"/>
        <w:numPr>
          <w:ilvl w:val="0"/>
          <w:numId w:val="2"/>
        </w:numPr>
        <w:spacing w:after="80"/>
      </w:pPr>
      <w:r>
        <w:rPr>
          <w:rFonts w:ascii="Calibri" w:cs="Calibri" w:eastAsia="Calibri" w:hAnsi="Calibri"/>
        </w:rPr>
        <w:t xml:space="preserve">No cross-file validation of any kind is performed (chromosome-notation equivalence, strand consistency, RSID positional equivalence) — these remain explicit open questions (Section 8.2) attached to the report via OpenQuestionRegistry, not resolved by any validation logic.</w:t>
      </w:r>
    </w:p>
    <w:p>
      <w:pPr>
        <w:spacing w:after="150"/>
      </w:pPr>
      <w:r>
        <w:rPr>
          <w:rFonts w:ascii="Calibri" w:cs="Calibri" w:eastAsia="Calibri" w:hAnsi="Calibri"/>
        </w:rPr>
        <w:t xml:space="preserve">Validation logic lives entirely in the domain layer (quality_checks/ and detection/ packages) so it can be exercised in unit tests without any file I/O.</w:t>
      </w:r>
    </w:p>
    <w:p>
      <w:pPr>
        <w:pStyle w:val="Heading1"/>
        <w:spacing w:after="200" w:before="400"/>
      </w:pPr>
      <w:r>
        <w:t xml:space="preserve">15. Testing Strategy</w:t>
      </w:r>
    </w:p>
    <w:p>
      <w:pPr>
        <w:pStyle w:val="Heading2"/>
        <w:spacing w:after="150" w:before="300"/>
      </w:pPr>
      <w:r>
        <w:t xml:space="preserve">15.1 Unit Testing</w:t>
      </w:r>
    </w:p>
    <w:p>
      <w:pPr>
        <w:pStyle w:val="ListParagraph"/>
        <w:numPr>
          <w:ilvl w:val="0"/>
          <w:numId w:val="2"/>
        </w:numPr>
        <w:spacing w:after="80"/>
      </w:pPr>
      <w:r>
        <w:rPr>
          <w:rFonts w:ascii="Calibri" w:cs="Calibri" w:eastAsia="Calibri" w:hAnsi="Calibri"/>
        </w:rPr>
        <w:t xml:space="preserve">Each Detector, QualityCheck, and GenomicProfiler is unit-tested in isolation against small, synthetic in-memory fixtures — not the real source files — constructed to exercise the structural properties the SRS documents (e.g. a fixture with a commented-only header mimicking Dataset B's form; a fixture with a literal '0' allele token mimicking Dataset A's observed missing-value convention).</w:t>
      </w:r>
    </w:p>
    <w:p>
      <w:pPr>
        <w:pStyle w:val="ListParagraph"/>
        <w:numPr>
          <w:ilvl w:val="0"/>
          <w:numId w:val="2"/>
        </w:numPr>
        <w:spacing w:after="80"/>
      </w:pPr>
      <w:r>
        <w:rPr>
          <w:rFonts w:ascii="Calibri" w:cs="Calibri" w:eastAsia="Calibri" w:hAnsi="Calibri"/>
        </w:rPr>
        <w:t xml:space="preserve">Because these components take plain data in and return plain data out (Section 10), no mocking framework is needed for most domain tests beyond simple fixture construction.</w:t>
      </w:r>
    </w:p>
    <w:p>
      <w:pPr>
        <w:pStyle w:val="Heading2"/>
        <w:spacing w:after="150" w:before="300"/>
      </w:pPr>
      <w:r>
        <w:t xml:space="preserve">15.2 Integration Testing</w:t>
      </w:r>
    </w:p>
    <w:p>
      <w:pPr>
        <w:pStyle w:val="ListParagraph"/>
        <w:numPr>
          <w:ilvl w:val="0"/>
          <w:numId w:val="2"/>
        </w:numPr>
        <w:spacing w:after="80"/>
      </w:pPr>
      <w:r>
        <w:rPr>
          <w:rFonts w:ascii="Calibri" w:cs="Calibri" w:eastAsia="Calibri" w:hAnsi="Calibri"/>
        </w:rPr>
        <w:t xml:space="preserve">ProfileFileUseCase is tested end-to-end against small synthetic files exercising both observed layouts (five-column allele-pair layout and four-column single-genotype layout), verifying that the assembled ProfilingReport contains the expected Findings, Profiles, and OpenQuestions.</w:t>
      </w:r>
    </w:p>
    <w:p>
      <w:pPr>
        <w:pStyle w:val="ListParagraph"/>
        <w:numPr>
          <w:ilvl w:val="0"/>
          <w:numId w:val="2"/>
        </w:numPr>
        <w:spacing w:after="80"/>
      </w:pPr>
      <w:r>
        <w:rPr>
          <w:rFonts w:ascii="Calibri" w:cs="Calibri" w:eastAsia="Calibri" w:hAnsi="Calibri"/>
        </w:rPr>
        <w:t xml:space="preserve">A neutrality test (directly targeting NFR-5) constructs a third, synthetic file layout that differs from both Dataset A and Dataset B (e.g. a different column count and a different missing-value token) and asserts the pipeline still produces a correct report without code changes — this is the regression test for "no hard-coded schema".</w:t>
      </w:r>
    </w:p>
    <w:p>
      <w:pPr>
        <w:pStyle w:val="Heading2"/>
        <w:spacing w:after="150" w:before="300"/>
      </w:pPr>
      <w:r>
        <w:t xml:space="preserve">15.3 Determinism / Reproducibility Testing</w:t>
      </w:r>
    </w:p>
    <w:p>
      <w:pPr>
        <w:pStyle w:val="ListParagraph"/>
        <w:numPr>
          <w:ilvl w:val="0"/>
          <w:numId w:val="2"/>
        </w:numPr>
        <w:spacing w:after="80"/>
      </w:pPr>
      <w:r>
        <w:rPr>
          <w:rFonts w:ascii="Calibri" w:cs="Calibri" w:eastAsia="Calibri" w:hAnsi="Calibri"/>
        </w:rPr>
        <w:t xml:space="preserve">Running the pipeline twice on the same fixture file must produce byte-identical serialized reports (NFR-3).</w:t>
      </w:r>
    </w:p>
    <w:p>
      <w:pPr>
        <w:pStyle w:val="Heading2"/>
        <w:spacing w:after="150" w:before="300"/>
      </w:pPr>
      <w:r>
        <w:t xml:space="preserve">15.4 Data Handling in Tests</w:t>
      </w:r>
    </w:p>
    <w:p>
      <w:pPr>
        <w:pBdr>
          <w:left w:val="single" w:color="D9822B" w:sz="12" w:space="4"/>
        </w:pBdr>
        <w:shd w:fill="FDF3E7" w:val="clear"/>
        <w:spacing w:after="150"/>
        <w:ind w:left="215"/>
      </w:pPr>
      <w:r>
        <w:rPr>
          <w:rFonts w:ascii="Calibri" w:cs="Calibri" w:eastAsia="Calibri" w:hAnsi="Calibri"/>
          <w:b/>
          <w:bCs/>
          <w:color w:val="9C5100"/>
        </w:rPr>
        <w:t xml:space="preserve">ASSUMPTION (not derived from SRS/EDA): </w:t>
      </w:r>
      <w:r>
        <w:rPr>
          <w:rFonts w:ascii="Calibri" w:cs="Calibri" w:eastAsia="Calibri" w:hAnsi="Calibri"/>
          <w:i/>
          <w:iCs/>
        </w:rPr>
        <w:t xml:space="preserve">The SRS treats the actual Dataset A and Dataset B files as sensitive personal data (NFR-4, RISK-8) but does not specify a test-data policy. This architecture assumes that automated tests must use synthetic fixture files that reproduce structural properties (column counts, token conventions, header forms) without containing real or realistic personal genotype data, and that the real source files are never committed to a test suite or version control. This is a precautionary architectural choice, not an explicit SRS requirement.</w:t>
      </w:r>
    </w:p>
    <w:p>
      <w:pPr>
        <w:pStyle w:val="Heading2"/>
        <w:spacing w:after="150" w:before="300"/>
      </w:pPr>
      <w:r>
        <w:t xml:space="preserve">15.5 Traceability of Tests</w:t>
      </w:r>
    </w:p>
    <w:p>
      <w:pPr>
        <w:spacing w:after="150"/>
      </w:pPr>
      <w:r>
        <w:rPr>
          <w:rFonts w:ascii="Calibri" w:cs="Calibri" w:eastAsia="Calibri" w:hAnsi="Calibri"/>
        </w:rPr>
        <w:t xml:space="preserve">Test module names mirror requirement IDs where practical (e.g. a test module for duplicate_chr_pos_check references FR-9) so that SRS-to-test coverage can be reviewed directly, supporting NFR-6 at the test level as well as the runtime level.</w:t>
      </w:r>
    </w:p>
    <w:p>
      <w:pPr>
        <w:pStyle w:val="Heading1"/>
        <w:spacing w:after="200" w:before="400"/>
      </w:pPr>
      <w:r>
        <w:t xml:space="preserve">16. Future Extension Points (Explicitly Future Work — Not Designed Here)</w:t>
      </w:r>
    </w:p>
    <w:p>
      <w:pPr>
        <w:spacing w:after="150"/>
      </w:pPr>
      <w:r>
        <w:rPr>
          <w:rFonts w:ascii="Calibri" w:cs="Calibri" w:eastAsia="Calibri" w:hAnsi="Calibri"/>
        </w:rPr>
        <w:t xml:space="preserve">The items below are named only as seams the current architecture leaves open, consistent with the instruction to identify but not design future modules. None of the interfaces or packages in Sections 4–10 assume these will be built, and none should be inferred as implicitly authorized by anything above (mirroring SRS Section 11's own framing).</w:t>
      </w:r>
    </w:p>
    <w:p>
      <w:pPr>
        <w:pStyle w:val="ListParagraph"/>
        <w:numPr>
          <w:ilvl w:val="0"/>
          <w:numId w:val="2"/>
        </w:numPr>
        <w:spacing w:after="80"/>
      </w:pPr>
      <w:r>
        <w:rPr>
          <w:rFonts w:ascii="Calibri" w:cs="Calibri" w:eastAsia="Calibri" w:hAnsi="Calibri"/>
        </w:rPr>
        <w:t xml:space="preserve">Cross-file comparison / concordance module — would consume two or more ProfilingReport (or GenotypeFile) instances; the current per-file independence (FR-15, CON-3) means no such module exists or is stubbed in V1.</w:t>
      </w:r>
    </w:p>
    <w:p>
      <w:pPr>
        <w:pStyle w:val="ListParagraph"/>
        <w:numPr>
          <w:ilvl w:val="0"/>
          <w:numId w:val="2"/>
        </w:numPr>
        <w:spacing w:after="80"/>
      </w:pPr>
      <w:r>
        <w:rPr>
          <w:rFonts w:ascii="Calibri" w:cs="Calibri" w:eastAsia="Calibri" w:hAnsi="Calibri"/>
        </w:rPr>
        <w:t xml:space="preserve">Chromosome-notation reconciliation — would require an authoritative external mapping not available in the current evidence base (CON-2); no reconciliation interface is defined now.</w:t>
      </w:r>
    </w:p>
    <w:p>
      <w:pPr>
        <w:pStyle w:val="ListParagraph"/>
        <w:numPr>
          <w:ilvl w:val="0"/>
          <w:numId w:val="2"/>
        </w:numPr>
        <w:spacing w:after="80"/>
      </w:pPr>
      <w:r>
        <w:rPr>
          <w:rFonts w:ascii="Calibri" w:cs="Calibri" w:eastAsia="Calibri" w:hAnsi="Calibri"/>
        </w:rPr>
        <w:t xml:space="preserve">Missing/no-call value handling policy (exclusion, imputation, explicit-missingness flagging) — the current MissingValueScanner only observes and counts tokens; a policy layer is future, separate work.</w:t>
      </w:r>
    </w:p>
    <w:p>
      <w:pPr>
        <w:pStyle w:val="ListParagraph"/>
        <w:numPr>
          <w:ilvl w:val="0"/>
          <w:numId w:val="2"/>
        </w:numPr>
        <w:spacing w:after="80"/>
      </w:pPr>
      <w:r>
        <w:rPr>
          <w:rFonts w:ascii="Calibri" w:cs="Calibri" w:eastAsia="Calibri" w:hAnsi="Calibri"/>
        </w:rPr>
        <w:t xml:space="preserve">Genotype-encoding unification (two-column allele pairs vs. single-column genotype strings) — the current GenotypeLayoutClassifier only classifies and reports; unification logic is not designed.</w:t>
      </w:r>
    </w:p>
    <w:p>
      <w:pPr>
        <w:pStyle w:val="ListParagraph"/>
        <w:numPr>
          <w:ilvl w:val="0"/>
          <w:numId w:val="2"/>
        </w:numPr>
        <w:spacing w:after="80"/>
      </w:pPr>
      <w:r>
        <w:rPr>
          <w:rFonts w:ascii="Calibri" w:cs="Calibri" w:eastAsia="Calibri" w:hAnsi="Calibri"/>
        </w:rPr>
        <w:t xml:space="preserve">Strand verification/correction — no component in this architecture inspects or asserts strand consistency beyond reporting each file's own documented claim as metadata.</w:t>
      </w:r>
    </w:p>
    <w:p>
      <w:pPr>
        <w:pStyle w:val="ListParagraph"/>
        <w:numPr>
          <w:ilvl w:val="0"/>
          <w:numId w:val="2"/>
        </w:numPr>
        <w:spacing w:after="80"/>
      </w:pPr>
      <w:r>
        <w:rPr>
          <w:rFonts w:ascii="Calibri" w:cs="Calibri" w:eastAsia="Calibri" w:hAnsi="Calibri"/>
        </w:rPr>
        <w:t xml:space="preserve">Any phenotype-prediction functionality implied by the project name "PhenoPred" — entirely out of scope for this architecture; no domain concept, package, or interface here anticipates it.</w:t>
      </w:r>
    </w:p>
    <w:p>
      <w:pPr>
        <w:pStyle w:val="ListParagraph"/>
        <w:numPr>
          <w:ilvl w:val="0"/>
          <w:numId w:val="2"/>
        </w:numPr>
        <w:spacing w:after="80"/>
      </w:pPr>
      <w:r>
        <w:rPr>
          <w:rFonts w:ascii="Calibri" w:cs="Calibri" w:eastAsia="Calibri" w:hAnsi="Calibri"/>
        </w:rPr>
        <w:t xml:space="preserve">Security/privacy hardening (encryption at rest, access control, audit logging beyond NFR-6) — RISK-8 is acknowledged but a dedicated design is future work.</w:t>
      </w:r>
    </w:p>
    <w:p>
      <w:pPr>
        <w:pStyle w:val="ListParagraph"/>
        <w:numPr>
          <w:ilvl w:val="0"/>
          <w:numId w:val="2"/>
        </w:numPr>
        <w:spacing w:after="80"/>
      </w:pPr>
      <w:r>
        <w:rPr>
          <w:rFonts w:ascii="Calibri" w:cs="Calibri" w:eastAsia="Calibri" w:hAnsi="Calibri"/>
        </w:rPr>
        <w:t xml:space="preserve">Additional vendor-format adapters — new Detector/QualityCheck/GenomicProfiler implementations could be added behind the existing interfaces (Section 10) if a third vendor's file is later evidenced; this architecture does not design for any specific future vendor.</w:t>
      </w:r>
    </w:p>
    <w:p>
      <w:pPr>
        <w:pStyle w:val="Heading1"/>
        <w:spacing w:after="200" w:before="400"/>
      </w:pPr>
      <w:r>
        <w:t xml:space="preserve">17. Architectural Risks</w:t>
      </w:r>
    </w:p>
    <w:p>
      <w:pPr>
        <w:spacing w:after="150"/>
      </w:pPr>
      <w:r>
        <w:rPr>
          <w:rFonts w:ascii="Calibri" w:cs="Calibri" w:eastAsia="Calibri" w:hAnsi="Calibri"/>
        </w:rPr>
        <w:t xml:space="preserve">These are risks in the architecture itself (as distinct from the data risks RISK-1 through RISK-9 already catalogued in the SRS, which this architecture does not attempt to restate or resolve).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2F5496" w:val="clear"/>
          </w:tcPr>
          <w:p>
            <w:r>
              <w:rPr>
                <w:rFonts w:ascii="Calibri" w:cs="Calibri" w:eastAsia="Calibri" w:hAnsi="Calibri"/>
                <w:b/>
                <w:bCs/>
                <w:color w:val="FFFFFF"/>
                <w:sz w:val="20"/>
                <w:szCs w:val="20"/>
              </w:rPr>
              <w:t xml:space="preserve">Risk</w:t>
            </w:r>
          </w:p>
        </w:tc>
        <w:tc>
          <w:tcPr>
            <w:tcW w:type="dxa" w:w="4000"/>
            <w:shd w:fill="2F5496" w:val="clear"/>
          </w:tcPr>
          <w:p>
            <w:r>
              <w:rPr>
                <w:rFonts w:ascii="Calibri" w:cs="Calibri" w:eastAsia="Calibri" w:hAnsi="Calibri"/>
                <w:b/>
                <w:bCs/>
                <w:color w:val="FFFFFF"/>
                <w:sz w:val="20"/>
                <w:szCs w:val="20"/>
              </w:rPr>
              <w:t xml:space="preserve">Description</w:t>
            </w:r>
          </w:p>
        </w:tc>
        <w:tc>
          <w:tcPr>
            <w:tcW w:type="dxa" w:w="3000"/>
            <w:shd w:fill="2F5496" w:val="clear"/>
          </w:tcPr>
          <w:p>
            <w:r>
              <w:rPr>
                <w:rFonts w:ascii="Calibri" w:cs="Calibri" w:eastAsia="Calibri" w:hAnsi="Calibri"/>
                <w:b/>
                <w:bCs/>
                <w:color w:val="FFFFFF"/>
                <w:sz w:val="20"/>
                <w:szCs w:val="20"/>
              </w:rPr>
              <w:t xml:space="preserve">Mitigation / Note</w:t>
            </w:r>
          </w:p>
        </w:tc>
      </w:tr>
      <w:tr>
        <w:tc>
          <w:tcPr>
            <w:tcW w:type="dxa" w:w="2000"/>
          </w:tcPr>
          <w:p>
            <w:r>
              <w:rPr>
                <w:rFonts w:ascii="Calibri" w:cs="Calibri" w:eastAsia="Calibri" w:hAnsi="Calibri"/>
                <w:sz w:val="20"/>
                <w:szCs w:val="20"/>
              </w:rPr>
              <w:t xml:space="preserve">Premature abstraction from only two examples</w:t>
            </w:r>
          </w:p>
        </w:tc>
        <w:tc>
          <w:tcPr>
            <w:tcW w:type="dxa" w:w="4000"/>
          </w:tcPr>
          <w:p>
            <w:r>
              <w:rPr>
                <w:rFonts w:ascii="Calibri" w:cs="Calibri" w:eastAsia="Calibri" w:hAnsi="Calibri"/>
                <w:sz w:val="20"/>
                <w:szCs w:val="20"/>
              </w:rPr>
              <w:t xml:space="preserve">Detector/QualityCheck/GenomicProfiler interfaces are generalized from exactly two observed file layouts; a third real-world layout could reveal the abstraction is a poor fit.</w:t>
            </w:r>
          </w:p>
        </w:tc>
        <w:tc>
          <w:tcPr>
            <w:tcW w:type="dxa" w:w="3000"/>
          </w:tcPr>
          <w:p>
            <w:r>
              <w:rPr>
                <w:rFonts w:ascii="Calibri" w:cs="Calibri" w:eastAsia="Calibri" w:hAnsi="Calibri"/>
                <w:sz w:val="20"/>
                <w:szCs w:val="20"/>
              </w:rPr>
              <w:t xml:space="preserve">Interfaces are kept minimal (single-method, data-in/data-out) specifically to limit the cost of being wrong; the neutrality test (Section 15.2) is the primary safeguard.</w:t>
            </w:r>
          </w:p>
        </w:tc>
      </w:tr>
      <w:tr>
        <w:tc>
          <w:tcPr>
            <w:tcW w:type="dxa" w:w="2000"/>
          </w:tcPr>
          <w:p>
            <w:r>
              <w:rPr>
                <w:rFonts w:ascii="Calibri" w:cs="Calibri" w:eastAsia="Calibri" w:hAnsi="Calibri"/>
                <w:sz w:val="20"/>
                <w:szCs w:val="20"/>
              </w:rPr>
              <w:t xml:space="preserve">In-memory full-file loading at scale</w:t>
            </w:r>
          </w:p>
        </w:tc>
        <w:tc>
          <w:tcPr>
            <w:tcW w:type="dxa" w:w="4000"/>
          </w:tcPr>
          <w:p>
            <w:r>
              <w:rPr>
                <w:rFonts w:ascii="Calibri" w:cs="Calibri" w:eastAsia="Calibri" w:hAnsi="Calibri"/>
                <w:sz w:val="20"/>
                <w:szCs w:val="20"/>
              </w:rPr>
              <w:t xml:space="preserve">RawFileLoader mirrors the notebook's readlines() approach, loading an entire file (~15–18 MB, ~630,000–680,000 lines) into memory at once. NFR-1 only evidences this scale; no evidence exists for substantially larger files (CON-4).</w:t>
            </w:r>
          </w:p>
        </w:tc>
        <w:tc>
          <w:tcPr>
            <w:tcW w:type="dxa" w:w="3000"/>
          </w:tcPr>
          <w:p>
            <w:r>
              <w:rPr>
                <w:rFonts w:ascii="Calibri" w:cs="Calibri" w:eastAsia="Calibri" w:hAnsi="Calibri"/>
                <w:sz w:val="20"/>
                <w:szCs w:val="20"/>
              </w:rPr>
              <w:t xml:space="preserve">Acceptable for Version 1 given the evidence base; flagged here so a streaming redesign is considered before assuming much larger files, rather than discovered as a production incident.</w:t>
            </w:r>
          </w:p>
        </w:tc>
      </w:tr>
      <w:tr>
        <w:tc>
          <w:tcPr>
            <w:tcW w:type="dxa" w:w="2000"/>
          </w:tcPr>
          <w:p>
            <w:r>
              <w:rPr>
                <w:rFonts w:ascii="Calibri" w:cs="Calibri" w:eastAsia="Calibri" w:hAnsi="Calibri"/>
                <w:sz w:val="20"/>
                <w:szCs w:val="20"/>
              </w:rPr>
              <w:t xml:space="preserve">Sample-based detection missing rare structural variation</w:t>
            </w:r>
          </w:p>
        </w:tc>
        <w:tc>
          <w:tcPr>
            <w:tcW w:type="dxa" w:w="4000"/>
          </w:tcPr>
          <w:p>
            <w:r>
              <w:rPr>
                <w:rFonts w:ascii="Calibri" w:cs="Calibri" w:eastAsia="Calibri" w:hAnsi="Calibri"/>
                <w:sz w:val="20"/>
                <w:szCs w:val="20"/>
              </w:rPr>
              <w:t xml:space="preserve">Delimiter/encoding/header detectors and duplicate-token scans described in the notebook often operate on a sample (e.g. first N lines or a byte prefix); a structural anomaly later in a very large file could be missed by sampling-based detectors.</w:t>
            </w:r>
          </w:p>
        </w:tc>
        <w:tc>
          <w:tcPr>
            <w:tcW w:type="dxa" w:w="3000"/>
          </w:tcPr>
          <w:p>
            <w:r>
              <w:rPr>
                <w:rFonts w:ascii="Calibri" w:cs="Calibri" w:eastAsia="Calibri" w:hAnsi="Calibri"/>
                <w:sz w:val="20"/>
                <w:szCs w:val="20"/>
              </w:rPr>
              <w:t xml:space="preserve">Where the SRS requirement is full-file (e.g. FR-5 malformed-row detection, FR-8/FR-9 duplicate detection), the corresponding QualityCheck must scan all rows, not a sample; only encoding/delimiter detection is sample-based, matching the notebook's own approach.</w:t>
            </w:r>
          </w:p>
        </w:tc>
      </w:tr>
      <w:tr>
        <w:tc>
          <w:tcPr>
            <w:tcW w:type="dxa" w:w="2000"/>
          </w:tcPr>
          <w:p>
            <w:r>
              <w:rPr>
                <w:rFonts w:ascii="Calibri" w:cs="Calibri" w:eastAsia="Calibri" w:hAnsi="Calibri"/>
                <w:sz w:val="20"/>
                <w:szCs w:val="20"/>
              </w:rPr>
              <w:t xml:space="preserve">Configuration surface area creep</w:t>
            </w:r>
          </w:p>
        </w:tc>
        <w:tc>
          <w:tcPr>
            <w:tcW w:type="dxa" w:w="4000"/>
          </w:tcPr>
          <w:p>
            <w:r>
              <w:rPr>
                <w:rFonts w:ascii="Calibri" w:cs="Calibri" w:eastAsia="Calibri" w:hAnsi="Calibri"/>
                <w:sz w:val="20"/>
                <w:szCs w:val="20"/>
              </w:rPr>
              <w:t xml:space="preserve">Making comment_prefix, header_keyword, and similar values configurable (Section 11) to satisfy NFR-5 could be over-extended into configuring things the SRS treats as empirically detected, blurring the empirical-detection goal (OBJ-2).</w:t>
            </w:r>
          </w:p>
        </w:tc>
        <w:tc>
          <w:tcPr>
            <w:tcW w:type="dxa" w:w="3000"/>
          </w:tcPr>
          <w:p>
            <w:r>
              <w:rPr>
                <w:rFonts w:ascii="Calibri" w:cs="Calibri" w:eastAsia="Calibri" w:hAnsi="Calibri"/>
                <w:sz w:val="20"/>
                <w:szCs w:val="20"/>
              </w:rPr>
              <w:t xml:space="preserve">Configuration is limited to values that are genuinely conventions (e.g. default comment marker) rather than to overriding detection outcomes themselves (e.g. delimiter is always detected, never configrable as a fixed override).</w:t>
            </w:r>
          </w:p>
        </w:tc>
      </w:tr>
      <w:tr>
        <w:tc>
          <w:tcPr>
            <w:tcW w:type="dxa" w:w="2000"/>
          </w:tcPr>
          <w:p>
            <w:r>
              <w:rPr>
                <w:rFonts w:ascii="Calibri" w:cs="Calibri" w:eastAsia="Calibri" w:hAnsi="Calibri"/>
                <w:sz w:val="20"/>
                <w:szCs w:val="20"/>
              </w:rPr>
              <w:t xml:space="preserve">Findings-as-data volume</w:t>
            </w:r>
          </w:p>
        </w:tc>
        <w:tc>
          <w:tcPr>
            <w:tcW w:type="dxa" w:w="4000"/>
          </w:tcPr>
          <w:p>
            <w:r>
              <w:rPr>
                <w:rFonts w:ascii="Calibri" w:cs="Calibri" w:eastAsia="Calibri" w:hAnsi="Calibri"/>
                <w:sz w:val="20"/>
                <w:szCs w:val="20"/>
              </w:rPr>
              <w:t xml:space="preserve">Some findings (e.g. duplicate chromosome-position pairs) could in principle be large for pathological files, and holding full example lists in a Finding could be memory-intensive.</w:t>
            </w:r>
          </w:p>
        </w:tc>
        <w:tc>
          <w:tcPr>
            <w:tcW w:type="dxa" w:w="3000"/>
          </w:tcPr>
          <w:p>
            <w:r>
              <w:rPr>
                <w:rFonts w:ascii="Calibri" w:cs="Calibri" w:eastAsia="Calibri" w:hAnsi="Calibri"/>
                <w:sz w:val="20"/>
                <w:szCs w:val="20"/>
              </w:rPr>
              <w:t xml:space="preserve">Finding is defined to hold counts plus a bounded sample of examples (Section 8), not an unbounded list, consistent with the SRS's own reporting style (e.g. "first 10" examples in the notebook).</w:t>
            </w:r>
          </w:p>
        </w:tc>
      </w:tr>
      <w:tr>
        <w:tc>
          <w:tcPr>
            <w:tcW w:type="dxa" w:w="2000"/>
          </w:tcPr>
          <w:p>
            <w:r>
              <w:rPr>
                <w:rFonts w:ascii="Calibri" w:cs="Calibri" w:eastAsia="Calibri" w:hAnsi="Calibri"/>
                <w:sz w:val="20"/>
                <w:szCs w:val="20"/>
              </w:rPr>
              <w:t xml:space="preserve">Interface churn if future work is added carelessly</w:t>
            </w:r>
          </w:p>
        </w:tc>
        <w:tc>
          <w:tcPr>
            <w:tcW w:type="dxa" w:w="4000"/>
          </w:tcPr>
          <w:p>
            <w:r>
              <w:rPr>
                <w:rFonts w:ascii="Calibri" w:cs="Calibri" w:eastAsia="Calibri" w:hAnsi="Calibri"/>
                <w:sz w:val="20"/>
                <w:szCs w:val="20"/>
              </w:rPr>
              <w:t xml:space="preserve">Adding future modules (Section 16) directly into the domain interfaces defined now, rather than as new adjacent modules, could force changes to Version 1 interfaces.</w:t>
            </w:r>
          </w:p>
        </w:tc>
        <w:tc>
          <w:tcPr>
            <w:tcW w:type="dxa" w:w="3000"/>
          </w:tcPr>
          <w:p>
            <w:r>
              <w:rPr>
                <w:rFonts w:ascii="Calibri" w:cs="Calibri" w:eastAsia="Calibri" w:hAnsi="Calibri"/>
                <w:sz w:val="20"/>
                <w:szCs w:val="20"/>
              </w:rPr>
              <w:t xml:space="preserve">Future modules are expected to consume ProfilingReport/GenotypeFile as read-only inputs from outside the current package boundary, not to modify domain/interfaces.py.</w:t>
            </w:r>
          </w:p>
        </w:tc>
      </w:tr>
    </w:tbl>
    <w:p>
      <w:pPr>
        <w:pStyle w:val="Heading1"/>
        <w:spacing w:after="200" w:before="400"/>
      </w:pPr>
      <w:r>
        <w:t xml:space="preserve">18. Architectural Decisions With Rationale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00"/>
      </w:tblGrid>
      <w:tr>
        <w:trPr>
          <w:tblHeader/>
        </w:trPr>
        <w:tc>
          <w:tcPr>
            <w:tcW w:type="dxa" w:w="900"/>
            <w:shd w:fill="2F5496" w:val="clear"/>
          </w:tcPr>
          <w:p>
            <w:r>
              <w:rPr>
                <w:rFonts w:ascii="Calibri" w:cs="Calibri" w:eastAsia="Calibri" w:hAnsi="Calibri"/>
                <w:b/>
                <w:bCs/>
                <w:color w:val="FFFFFF"/>
                <w:sz w:val="20"/>
                <w:szCs w:val="20"/>
              </w:rPr>
              <w:t xml:space="preserve">ID</w:t>
            </w:r>
          </w:p>
        </w:tc>
        <w:tc>
          <w:tcPr>
            <w:tcW w:type="dxa" w:w="4100"/>
            <w:shd w:fill="2F5496" w:val="clear"/>
          </w:tcPr>
          <w:p>
            <w:r>
              <w:rPr>
                <w:rFonts w:ascii="Calibri" w:cs="Calibri" w:eastAsia="Calibri" w:hAnsi="Calibri"/>
                <w:b/>
                <w:bCs/>
                <w:color w:val="FFFFFF"/>
                <w:sz w:val="20"/>
                <w:szCs w:val="20"/>
              </w:rPr>
              <w:t xml:space="preserve">Decision</w:t>
            </w:r>
          </w:p>
        </w:tc>
        <w:tc>
          <w:tcPr>
            <w:tcW w:type="dxa" w:w="4000"/>
            <w:shd w:fill="2F5496" w:val="clear"/>
          </w:tcPr>
          <w:p>
            <w:r>
              <w:rPr>
                <w:rFonts w:ascii="Calibri" w:cs="Calibri" w:eastAsia="Calibri" w:hAnsi="Calibri"/>
                <w:b/>
                <w:bCs/>
                <w:color w:val="FFFFFF"/>
                <w:sz w:val="20"/>
                <w:szCs w:val="20"/>
              </w:rPr>
              <w:t xml:space="preserve">Rationale</w:t>
            </w:r>
          </w:p>
        </w:tc>
      </w:tr>
      <w:tr>
        <w:tc>
          <w:tcPr>
            <w:tcW w:type="dxa" w:w="900"/>
          </w:tcPr>
          <w:p>
            <w:r>
              <w:rPr>
                <w:rFonts w:ascii="Calibri" w:cs="Calibri" w:eastAsia="Calibri" w:hAnsi="Calibri"/>
                <w:sz w:val="20"/>
                <w:szCs w:val="20"/>
              </w:rPr>
              <w:t xml:space="preserve">AD-1</w:t>
            </w:r>
          </w:p>
        </w:tc>
        <w:tc>
          <w:tcPr>
            <w:tcW w:type="dxa" w:w="4100"/>
          </w:tcPr>
          <w:p>
            <w:r>
              <w:rPr>
                <w:rFonts w:ascii="Calibri" w:cs="Calibri" w:eastAsia="Calibri" w:hAnsi="Calibri"/>
                <w:sz w:val="20"/>
                <w:szCs w:val="20"/>
              </w:rPr>
              <w:t xml:space="preserve">Four-layer architecture (CLI / Application / Domain / Infrastructure) with dependencies pointing inward.</w:t>
            </w:r>
          </w:p>
        </w:tc>
        <w:tc>
          <w:tcPr>
            <w:tcW w:type="dxa" w:w="4000"/>
          </w:tcPr>
          <w:p>
            <w:r>
              <w:rPr>
                <w:rFonts w:ascii="Calibri" w:cs="Calibri" w:eastAsia="Calibri" w:hAnsi="Calibri"/>
                <w:sz w:val="20"/>
                <w:szCs w:val="20"/>
              </w:rPr>
              <w:t xml:space="preserve">Directly satisfies the instructions to separate domain logic from infrastructure concerns and to follow separation of concerns; keeps structural/genomic logic testable without I/O.</w:t>
            </w:r>
          </w:p>
        </w:tc>
      </w:tr>
      <w:tr>
        <w:tc>
          <w:tcPr>
            <w:tcW w:type="dxa" w:w="900"/>
          </w:tcPr>
          <w:p>
            <w:r>
              <w:rPr>
                <w:rFonts w:ascii="Calibri" w:cs="Calibri" w:eastAsia="Calibri" w:hAnsi="Calibri"/>
                <w:sz w:val="20"/>
                <w:szCs w:val="20"/>
              </w:rPr>
              <w:t xml:space="preserve">AD-2</w:t>
            </w:r>
          </w:p>
        </w:tc>
        <w:tc>
          <w:tcPr>
            <w:tcW w:type="dxa" w:w="4100"/>
          </w:tcPr>
          <w:p>
            <w:r>
              <w:rPr>
                <w:rFonts w:ascii="Calibri" w:cs="Calibri" w:eastAsia="Calibri" w:hAnsi="Calibri"/>
                <w:sz w:val="20"/>
                <w:szCs w:val="20"/>
              </w:rPr>
              <w:t xml:space="preserve">One class per SRS functional requirement for quality checks and genomic profilers, unified behind shared QualityCheck / GenomicProfiler interfaces (strategy-pattern style).</w:t>
            </w:r>
          </w:p>
        </w:tc>
        <w:tc>
          <w:tcPr>
            <w:tcW w:type="dxa" w:w="4000"/>
          </w:tcPr>
          <w:p>
            <w:r>
              <w:rPr>
                <w:rFonts w:ascii="Calibri" w:cs="Calibri" w:eastAsia="Calibri" w:hAnsi="Calibri"/>
                <w:sz w:val="20"/>
                <w:szCs w:val="20"/>
              </w:rPr>
              <w:t xml:space="preserve">Maps 1:1 to SRS requirements and notebook sections, which directly satisfies NFR-6 (traceability); supports the Open/Closed Principle — a new check can be added without modifying existing ones or the orchestrator.</w:t>
            </w:r>
          </w:p>
        </w:tc>
      </w:tr>
      <w:tr>
        <w:tc>
          <w:tcPr>
            <w:tcW w:type="dxa" w:w="900"/>
          </w:tcPr>
          <w:p>
            <w:r>
              <w:rPr>
                <w:rFonts w:ascii="Calibri" w:cs="Calibri" w:eastAsia="Calibri" w:hAnsi="Calibri"/>
                <w:sz w:val="20"/>
                <w:szCs w:val="20"/>
              </w:rPr>
              <w:t xml:space="preserve">AD-3</w:t>
            </w:r>
          </w:p>
        </w:tc>
        <w:tc>
          <w:tcPr>
            <w:tcW w:type="dxa" w:w="4100"/>
          </w:tcPr>
          <w:p>
            <w:r>
              <w:rPr>
                <w:rFonts w:ascii="Calibri" w:cs="Calibri" w:eastAsia="Calibri" w:hAnsi="Calibri"/>
                <w:sz w:val="20"/>
                <w:szCs w:val="20"/>
              </w:rPr>
              <w:t xml:space="preserve">ProfilingReport is a plain domain object; persistence format is behind a ReportSerializer interface, not fixed to a concrete format in the domain layer.</w:t>
            </w:r>
          </w:p>
        </w:tc>
        <w:tc>
          <w:tcPr>
            <w:tcW w:type="dxa" w:w="4000"/>
          </w:tcPr>
          <w:p>
            <w:r>
              <w:rPr>
                <w:rFonts w:ascii="Calibri" w:cs="Calibri" w:eastAsia="Calibri" w:hAnsi="Calibri"/>
                <w:sz w:val="20"/>
                <w:szCs w:val="20"/>
              </w:rPr>
              <w:t xml:space="preserve">SRS Section 7 explicitly declines to specify output technology; decoupling keeps that decision deferred and swappable, consistent with not inventing implementation details not evidenced by the SRS.</w:t>
            </w:r>
          </w:p>
        </w:tc>
      </w:tr>
      <w:tr>
        <w:tc>
          <w:tcPr>
            <w:tcW w:type="dxa" w:w="900"/>
          </w:tcPr>
          <w:p>
            <w:r>
              <w:rPr>
                <w:rFonts w:ascii="Calibri" w:cs="Calibri" w:eastAsia="Calibri" w:hAnsi="Calibri"/>
                <w:sz w:val="20"/>
                <w:szCs w:val="20"/>
              </w:rPr>
              <w:t xml:space="preserve">AD-4</w:t>
            </w:r>
          </w:p>
        </w:tc>
        <w:tc>
          <w:tcPr>
            <w:tcW w:type="dxa" w:w="4100"/>
          </w:tcPr>
          <w:p>
            <w:r>
              <w:rPr>
                <w:rFonts w:ascii="Calibri" w:cs="Calibri" w:eastAsia="Calibri" w:hAnsi="Calibri"/>
                <w:sz w:val="20"/>
                <w:szCs w:val="20"/>
              </w:rPr>
              <w:t xml:space="preserve">Full in-memory line loading (no streaming) for Version 1.</w:t>
            </w:r>
          </w:p>
        </w:tc>
        <w:tc>
          <w:tcPr>
            <w:tcW w:type="dxa" w:w="4000"/>
          </w:tcPr>
          <w:p>
            <w:r>
              <w:rPr>
                <w:rFonts w:ascii="Calibri" w:cs="Calibri" w:eastAsia="Calibri" w:hAnsi="Calibri"/>
                <w:sz w:val="20"/>
                <w:szCs w:val="20"/>
              </w:rPr>
              <w:t xml:space="preserve">Matches the evidenced file scale (NFR-1) and mirrors the notebook's own approach (readlines()); avoids introducing streaming complexity unsupported by any current requirement (flagged as a risk in Section 17 for future scale).</w:t>
            </w:r>
          </w:p>
        </w:tc>
      </w:tr>
      <w:tr>
        <w:tc>
          <w:tcPr>
            <w:tcW w:type="dxa" w:w="900"/>
          </w:tcPr>
          <w:p>
            <w:r>
              <w:rPr>
                <w:rFonts w:ascii="Calibri" w:cs="Calibri" w:eastAsia="Calibri" w:hAnsi="Calibri"/>
                <w:sz w:val="20"/>
                <w:szCs w:val="20"/>
              </w:rPr>
              <w:t xml:space="preserve">AD-5</w:t>
            </w:r>
          </w:p>
        </w:tc>
        <w:tc>
          <w:tcPr>
            <w:tcW w:type="dxa" w:w="4100"/>
          </w:tcPr>
          <w:p>
            <w:r>
              <w:rPr>
                <w:rFonts w:ascii="Calibri" w:cs="Calibri" w:eastAsia="Calibri" w:hAnsi="Calibri"/>
                <w:sz w:val="20"/>
                <w:szCs w:val="20"/>
              </w:rPr>
              <w:t xml:space="preserve">No fixed schema (column count, header placement, chromosome-label vocabulary, missing-value tokens) anywhere in domain code; all such properties are detected or configured per file.</w:t>
            </w:r>
          </w:p>
        </w:tc>
        <w:tc>
          <w:tcPr>
            <w:tcW w:type="dxa" w:w="4000"/>
          </w:tcPr>
          <w:p>
            <w:r>
              <w:rPr>
                <w:rFonts w:ascii="Calibri" w:cs="Calibri" w:eastAsia="Calibri" w:hAnsi="Calibri"/>
                <w:sz w:val="20"/>
                <w:szCs w:val="20"/>
              </w:rPr>
              <w:t xml:space="preserve">Directly required by NFR-5, and evidenced necessary by the fact that Dataset A and Dataset B already differ on every one of these dimensions.</w:t>
            </w:r>
          </w:p>
        </w:tc>
      </w:tr>
      <w:tr>
        <w:tc>
          <w:tcPr>
            <w:tcW w:type="dxa" w:w="900"/>
          </w:tcPr>
          <w:p>
            <w:r>
              <w:rPr>
                <w:rFonts w:ascii="Calibri" w:cs="Calibri" w:eastAsia="Calibri" w:hAnsi="Calibri"/>
                <w:sz w:val="20"/>
                <w:szCs w:val="20"/>
              </w:rPr>
              <w:t xml:space="preserve">AD-6</w:t>
            </w:r>
          </w:p>
        </w:tc>
        <w:tc>
          <w:tcPr>
            <w:tcW w:type="dxa" w:w="4100"/>
          </w:tcPr>
          <w:p>
            <w:r>
              <w:rPr>
                <w:rFonts w:ascii="Calibri" w:cs="Calibri" w:eastAsia="Calibri" w:hAnsi="Calibri"/>
                <w:sz w:val="20"/>
                <w:szCs w:val="20"/>
              </w:rPr>
              <w:t xml:space="preserve">Data-quality conditions (duplicates, malformed rows, missing tokens) are represented as Finding data, never raised as exceptions; only genuine ingestion failures use exceptions.</w:t>
            </w:r>
          </w:p>
        </w:tc>
        <w:tc>
          <w:tcPr>
            <w:tcW w:type="dxa" w:w="4000"/>
          </w:tcPr>
          <w:p>
            <w:r>
              <w:rPr>
                <w:rFonts w:ascii="Calibri" w:cs="Calibri" w:eastAsia="Calibri" w:hAnsi="Calibri"/>
                <w:sz w:val="20"/>
                <w:szCs w:val="20"/>
              </w:rPr>
              <w:t xml:space="preserve">The SRS explicitly frames these checks as reporting, not resolution or blocking (Section 4 preamble); using exceptions for expected, countable conditions would conflate 'file is unreadable' with 'file has quality findings', which are different concerns architecturally and operationally.</w:t>
            </w:r>
          </w:p>
        </w:tc>
      </w:tr>
      <w:tr>
        <w:tc>
          <w:tcPr>
            <w:tcW w:type="dxa" w:w="900"/>
          </w:tcPr>
          <w:p>
            <w:r>
              <w:rPr>
                <w:rFonts w:ascii="Calibri" w:cs="Calibri" w:eastAsia="Calibri" w:hAnsi="Calibri"/>
                <w:sz w:val="20"/>
                <w:szCs w:val="20"/>
              </w:rPr>
              <w:t xml:space="preserve">AD-7</w:t>
            </w:r>
          </w:p>
        </w:tc>
        <w:tc>
          <w:tcPr>
            <w:tcW w:type="dxa" w:w="4100"/>
          </w:tcPr>
          <w:p>
            <w:r>
              <w:rPr>
                <w:rFonts w:ascii="Calibri" w:cs="Calibri" w:eastAsia="Calibri" w:hAnsi="Calibri"/>
                <w:sz w:val="20"/>
                <w:szCs w:val="20"/>
              </w:rPr>
              <w:t xml:space="preserve">OpenQuestion is a first-class domain concept attached to every report, populated from a fixed registry derived from SRS Section 8.2/RISK-1..9.</w:t>
            </w:r>
          </w:p>
        </w:tc>
        <w:tc>
          <w:tcPr>
            <w:tcW w:type="dxa" w:w="4000"/>
          </w:tcPr>
          <w:p>
            <w:r>
              <w:rPr>
                <w:rFonts w:ascii="Calibri" w:cs="Calibri" w:eastAsia="Calibri" w:hAnsi="Calibri"/>
                <w:sz w:val="20"/>
                <w:szCs w:val="20"/>
              </w:rPr>
              <w:t xml:space="preserve">Directly satisfies OBJ-5 and OUT-9 — ensures no future design phase can silently inherit an unstated assumption, without this architecture attempting to answer the open questions itself.</w:t>
            </w:r>
          </w:p>
        </w:tc>
      </w:tr>
      <w:tr>
        <w:tc>
          <w:tcPr>
            <w:tcW w:type="dxa" w:w="900"/>
          </w:tcPr>
          <w:p>
            <w:r>
              <w:rPr>
                <w:rFonts w:ascii="Calibri" w:cs="Calibri" w:eastAsia="Calibri" w:hAnsi="Calibri"/>
                <w:sz w:val="20"/>
                <w:szCs w:val="20"/>
              </w:rPr>
              <w:t xml:space="preserve">AD-8</w:t>
            </w:r>
          </w:p>
        </w:tc>
        <w:tc>
          <w:tcPr>
            <w:tcW w:type="dxa" w:w="4100"/>
          </w:tcPr>
          <w:p>
            <w:r>
              <w:rPr>
                <w:rFonts w:ascii="Calibri" w:cs="Calibri" w:eastAsia="Calibri" w:hAnsi="Calibri"/>
                <w:sz w:val="20"/>
                <w:szCs w:val="20"/>
              </w:rPr>
              <w:t xml:space="preserve">Composition over inheritance: all checks/profilers/detectors implement small protocols/interfaces; no deep class hierarchies or shared base classes carrying behavior.</w:t>
            </w:r>
          </w:p>
        </w:tc>
        <w:tc>
          <w:tcPr>
            <w:tcW w:type="dxa" w:w="4000"/>
          </w:tcPr>
          <w:p>
            <w:r>
              <w:rPr>
                <w:rFonts w:ascii="Calibri" w:cs="Calibri" w:eastAsia="Calibri" w:hAnsi="Calibri"/>
                <w:sz w:val="20"/>
                <w:szCs w:val="20"/>
              </w:rPr>
              <w:t xml:space="preserve">Matches the explicit instruction to prefer composition over inheritance unless clearly justified; each check/profiler is independent and has no natural 'is-a' relationship with the others that would justify a shared behavioral superclass.</w:t>
            </w:r>
          </w:p>
        </w:tc>
      </w:tr>
      <w:tr>
        <w:tc>
          <w:tcPr>
            <w:tcW w:type="dxa" w:w="900"/>
          </w:tcPr>
          <w:p>
            <w:r>
              <w:rPr>
                <w:rFonts w:ascii="Calibri" w:cs="Calibri" w:eastAsia="Calibri" w:hAnsi="Calibri"/>
                <w:sz w:val="20"/>
                <w:szCs w:val="20"/>
              </w:rPr>
              <w:t xml:space="preserve">AD-9</w:t>
            </w:r>
          </w:p>
        </w:tc>
        <w:tc>
          <w:tcPr>
            <w:tcW w:type="dxa" w:w="4100"/>
          </w:tcPr>
          <w:p>
            <w:r>
              <w:rPr>
                <w:rFonts w:ascii="Calibri" w:cs="Calibri" w:eastAsia="Calibri" w:hAnsi="Calibri"/>
                <w:sz w:val="20"/>
                <w:szCs w:val="20"/>
              </w:rPr>
              <w:t xml:space="preserve">No cross-file comparison module, chromosome-reconciliation module, or missing-value policy module is built or stubbed with concrete logic in Version 1; only interfaces that could later support them are noted as extension points (Section 16).</w:t>
            </w:r>
          </w:p>
        </w:tc>
        <w:tc>
          <w:tcPr>
            <w:tcW w:type="dxa" w:w="4000"/>
          </w:tcPr>
          <w:p>
            <w:r>
              <w:rPr>
                <w:rFonts w:ascii="Calibri" w:cs="Calibri" w:eastAsia="Calibri" w:hAnsi="Calibri"/>
                <w:sz w:val="20"/>
                <w:szCs w:val="20"/>
              </w:rPr>
              <w:t xml:space="preserve">These are explicitly out of scope in SRS Section 11; designing them now — even as empty stubs with logic — would exceed 'reflect the current project scope only' and risk inventing biological/cross-file processing not justified by the SRS.</w:t>
            </w:r>
          </w:p>
        </w:tc>
      </w:tr>
      <w:tr>
        <w:tc>
          <w:tcPr>
            <w:tcW w:type="dxa" w:w="900"/>
          </w:tcPr>
          <w:p>
            <w:r>
              <w:rPr>
                <w:rFonts w:ascii="Calibri" w:cs="Calibri" w:eastAsia="Calibri" w:hAnsi="Calibri"/>
                <w:sz w:val="20"/>
                <w:szCs w:val="20"/>
              </w:rPr>
              <w:t xml:space="preserve">AD-10</w:t>
            </w:r>
          </w:p>
        </w:tc>
        <w:tc>
          <w:tcPr>
            <w:tcW w:type="dxa" w:w="4100"/>
          </w:tcPr>
          <w:p>
            <w:r>
              <w:rPr>
                <w:rFonts w:ascii="Calibri" w:cs="Calibri" w:eastAsia="Calibri" w:hAnsi="Calibri"/>
                <w:sz w:val="20"/>
                <w:szCs w:val="20"/>
              </w:rPr>
              <w:t xml:space="preserve">Configuration and logging are cross-cutting infrastructure concerns injected into domain/application code via interfaces (ConfigProvider) or the standard logging facility, never read directly from global state inside domain classes.</w:t>
            </w:r>
          </w:p>
        </w:tc>
        <w:tc>
          <w:tcPr>
            <w:tcW w:type="dxa" w:w="4000"/>
          </w:tcPr>
          <w:p>
            <w:r>
              <w:rPr>
                <w:rFonts w:ascii="Calibri" w:cs="Calibri" w:eastAsia="Calibri" w:hAnsi="Calibri"/>
                <w:sz w:val="20"/>
                <w:szCs w:val="20"/>
              </w:rPr>
              <w:t xml:space="preserve">Preserves testability (domain classes can be unit-tested with explicit inputs) and keeps domain code free of hidden infrastructure dependencies, per SOLID (Dependency Inversion) and the separation-of-concerns instruction.</w:t>
            </w:r>
          </w:p>
        </w:tc>
      </w:tr>
    </w:tbl>
    <w:p>
      <w:pPr>
        <w:pStyle w:val="Heading1"/>
        <w:spacing w:after="200" w:before="400"/>
      </w:pPr>
      <w:r>
        <w:t xml:space="preserve">19. Summary</w:t>
      </w:r>
    </w:p>
    <w:p>
      <w:pPr>
        <w:spacing w:after="150"/>
      </w:pPr>
      <w:r>
        <w:rPr>
          <w:rFonts w:ascii="Calibri" w:cs="Calibri" w:eastAsia="Calibri" w:hAnsi="Calibri"/>
        </w:rPr>
        <w:t xml:space="preserve">Version 1 of the PhenoPred architecture is intentionally narrow: it is a per-file, read-only, structurally-empirical ingestion-validation-profiling pipeline that mirrors the exploratory notebook's own discipline and implements exactly the requirements in the SRS — no cleaning, no cross-file logic, no biological interpretation. Every design decision above is either directly traceable to an SRS clause or explicitly flagged as an assumption where the SRS and EDA are silent. Extension points are named, not built, so that later phases (cross-dataset comparison, notation reconciliation, phenotype prediction) can be added as new modules consuming this architecture's stable outputs, without requiring a redesign of Version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2026-07-06T22:51:15.212Z</dcterms:created>
  <dcterms:modified xsi:type="dcterms:W3CDTF">2026-07-06T22:51:15.212Z</dcterms:modified>
</cp:coreProperties>
</file>

<file path=docProps/custom.xml><?xml version="1.0" encoding="utf-8"?>
<Properties xmlns="http://schemas.openxmlformats.org/officeDocument/2006/custom-properties" xmlns:vt="http://schemas.openxmlformats.org/officeDocument/2006/docPropsVTypes"/>
</file>