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200"/>
        <w:jc w:val="center"/>
      </w:pPr>
      <w:r>
        <w:rPr>
          <w:rFonts w:ascii="Calibri" w:cs="Calibri" w:eastAsia="Calibri" w:hAnsi="Calibri"/>
          <w:b/>
          <w:bCs/>
          <w:color w:val="1F3864"/>
          <w:sz w:val="56"/>
          <w:szCs w:val="56"/>
        </w:rPr>
        <w:t xml:space="preserve">PhenoPred</w:t>
      </w:r>
    </w:p>
    <w:p>
      <w:pPr>
        <w:spacing w:after="100"/>
        <w:jc w:val="center"/>
      </w:pPr>
      <w:r>
        <w:rPr>
          <w:rFonts w:ascii="Calibri" w:cs="Calibri" w:eastAsia="Calibri" w:hAnsi="Calibri"/>
          <w:b/>
          <w:bCs/>
          <w:color w:val="2E5496"/>
          <w:sz w:val="32"/>
          <w:szCs w:val="32"/>
        </w:rPr>
        <w:t xml:space="preserve">Software Requirements Specification</w:t>
      </w:r>
    </w:p>
    <w:p>
      <w:pPr>
        <w:spacing w:after="600"/>
        <w:jc w:val="center"/>
      </w:pPr>
      <w:r>
        <w:rPr>
          <w:rFonts w:ascii="Calibri" w:cs="Calibri" w:eastAsia="Calibri" w:hAnsi="Calibri"/>
          <w:i/>
          <w:iCs/>
          <w:color w:val="444444"/>
          <w:sz w:val="24"/>
          <w:szCs w:val="24"/>
        </w:rPr>
        <w:t xml:space="preserve">Raw Genotype Data Ingestion, Structural Validation, and Profiling Module</w:t>
      </w:r>
    </w:p>
    <w:p>
      <w:pPr>
        <w:spacing w:after="100"/>
        <w:jc w:val="center"/>
      </w:pPr>
      <w:r>
        <w:rPr>
          <w:rFonts w:ascii="Calibri" w:cs="Calibri" w:eastAsia="Calibri" w:hAnsi="Calibri"/>
          <w:sz w:val="22"/>
          <w:szCs w:val="22"/>
        </w:rPr>
        <w:t xml:space="preserve">Version 1.0</w:t>
      </w:r>
    </w:p>
    <w:p>
      <w:pPr>
        <w:spacing w:after="100"/>
        <w:jc w:val="center"/>
      </w:pPr>
      <w:r>
        <w:rPr>
          <w:rFonts w:ascii="Calibri" w:cs="Calibri" w:eastAsia="Calibri" w:hAnsi="Calibri"/>
          <w:sz w:val="22"/>
          <w:szCs w:val="22"/>
        </w:rPr>
        <w:t xml:space="preserve">Prepared as part of a Master's thesis project</w:t>
      </w:r>
    </w:p>
    <w:p>
      <w:pPr>
        <w:spacing w:after="1600"/>
        <w:jc w:val="center"/>
      </w:pPr>
      <w:r>
        <w:rPr>
          <w:rFonts w:ascii="Calibri" w:cs="Calibri" w:eastAsia="Calibri" w:hAnsi="Calibri"/>
          <w:color w:val="666666"/>
          <w:sz w:val="20"/>
          <w:szCs w:val="20"/>
        </w:rPr>
        <w:t xml:space="preserve">Document status: Draft for review — derived exclusively from 01_dataset_exploration.ipynb</w:t>
      </w:r>
    </w:p>
    <w:p>
      <w:pPr>
        <w:jc w:val="center"/>
      </w:pPr>
      <w:r>
        <w:rPr>
          <w:rFonts w:ascii="Calibri" w:cs="Calibri" w:eastAsia="Calibri" w:hAnsi="Calibri"/>
          <w:i/>
          <w:iCs/>
          <w:color w:val="666666"/>
          <w:sz w:val="18"/>
          <w:szCs w:val="18"/>
        </w:rPr>
        <w:t xml:space="preserve">Evidence basis: This document derives every requirement, constraint, and risk statement from the observations recorded in the exploratory data analysis notebook 01_dataset_exploration.ipynb, covering structural inspection of two raw consumer SNP genotype files (AncestryDNA export and 23andMe Build 37 export) belonging to the same individual. No biological assumptions, cross-dataset comparisons, or future implementation decisions have been introduced beyond what the notebook itself records. Where the notebook explicitly leaves a question open, this document states that a decision requires future validation rather than assuming an answer.</w:t>
      </w:r>
    </w:p>
    <w:p>
      <w:pPr>
        <w:pageBreakBefore/>
      </w:pPr>
      <w:r>
        <w:br/>
        <w:t xml:space="preserve"/>
      </w:r>
    </w:p>
    <w:p>
      <w:pPr>
        <w:pStyle w:val="Heading1"/>
        <w:spacing w:after="160" w:before="360"/>
      </w:pPr>
      <w:r>
        <w:t xml:space="preserve">1. Project Overview</w:t>
      </w:r>
    </w:p>
    <w:p>
      <w:pPr>
        <w:spacing w:after="160"/>
        <w:jc w:val="both"/>
      </w:pPr>
      <w:r>
        <w:rPr>
          <w:rFonts w:ascii="Calibri" w:cs="Calibri" w:eastAsia="Calibri" w:hAnsi="Calibri"/>
          <w:sz w:val="22"/>
          <w:szCs w:val="22"/>
        </w:rPr>
        <w:t xml:space="preserve">PhenoPred is a Master's project concerned with the reliable ingestion, structural validation, and descriptive profiling of raw consumer-grade Single Nucleotide Polymorphism (SNP) microarray genotype files, as a foundation for later, separately designed phenotype-related work. The present requirements are derived exclusively from one completed exploratory data analysis (EDA) notebook, 01_dataset_exploration.ipynb, which performed a strictly structural inspection — never a biological interpretation — of two raw text exports belonging to the same individual:</w:t>
      </w:r>
    </w:p>
    <w:p>
      <w:pPr>
        <w:pStyle w:val="ListParagraph"/>
        <w:numPr>
          <w:ilvl w:val="0"/>
          <w:numId w:val="1"/>
        </w:numPr>
        <w:spacing w:after="100"/>
      </w:pPr>
      <w:r>
        <w:t xml:space="preserve">Dataset A — an AncestryDNA raw data export (AncestryDNA.txt), produced by AncestryDNA array version V2.0 and converter version V1.0.</w:t>
      </w:r>
    </w:p>
    <w:p>
      <w:pPr>
        <w:pStyle w:val="ListParagraph"/>
        <w:numPr>
          <w:ilvl w:val="0"/>
          <w:numId w:val="1"/>
        </w:numPr>
        <w:spacing w:after="100"/>
      </w:pPr>
      <w:r>
        <w:t xml:space="preserve">Dataset B — a 23andMe raw data export, Build 37 (anonymous_genome_v5_build37.txt), produced by the 23andMe v5 chip, referenced to GRCh37/hg19 (NCBI Annotation Release 104).</w:t>
      </w:r>
    </w:p>
    <w:p>
      <w:pPr>
        <w:spacing w:after="160"/>
        <w:jc w:val="both"/>
      </w:pPr>
      <w:r>
        <w:rPr>
          <w:rFonts w:ascii="Calibri" w:cs="Calibri" w:eastAsia="Calibri" w:hAnsi="Calibri"/>
          <w:sz w:val="22"/>
          <w:szCs w:val="22"/>
        </w:rPr>
        <w:t xml:space="preserve">The notebook's own stated scope was structural inspection, profiling, and data-quality observation only: it did not clean, normalize, transform, strand-correct, or otherwise modify either file; it did not compare the two files against one another; and it drew no biological, medical, or ancestry-related conclusions. This SRS inherits that same discipline. It specifies requirements for a software component that can ingest, validate, and report on the structural characteristics of files of this kind, using only what has been empirically demonstrated. Any capability not evidenced by the notebook — including any future phenotype-prediction functionality implied by the project name — is explicitly identified as out of scope or as requiring future validation, and is not designed here.</w:t>
      </w:r>
    </w:p>
    <w:p>
      <w:pPr>
        <w:pStyle w:val="Heading1"/>
        <w:spacing w:after="160" w:before="360"/>
      </w:pPr>
      <w:r>
        <w:t xml:space="preserve">2. Scope</w:t>
      </w:r>
    </w:p>
    <w:p>
      <w:pPr>
        <w:pStyle w:val="Heading2"/>
        <w:spacing w:after="120" w:before="240"/>
      </w:pPr>
      <w:r>
        <w:t xml:space="preserve">2.1 In Scope</w:t>
      </w:r>
    </w:p>
    <w:p>
      <w:pPr>
        <w:spacing w:after="160"/>
        <w:jc w:val="both"/>
      </w:pPr>
      <w:r>
        <w:rPr>
          <w:rFonts w:ascii="Calibri" w:cs="Calibri" w:eastAsia="Calibri" w:hAnsi="Calibri"/>
          <w:sz w:val="22"/>
          <w:szCs w:val="22"/>
        </w:rPr>
        <w:t xml:space="preserve">The scope of this SRS is limited to a data-ingestion and structural-validation capability that mirrors the checks actually performed in the exploratory notebook against Dataset A and Dataset B. This includes:</w:t>
      </w:r>
    </w:p>
    <w:p>
      <w:pPr>
        <w:pStyle w:val="ListParagraph"/>
        <w:numPr>
          <w:ilvl w:val="0"/>
          <w:numId w:val="1"/>
        </w:numPr>
        <w:spacing w:after="100"/>
      </w:pPr>
      <w:r>
        <w:t xml:space="preserve">Parsing raw, plain-text, delimited genotype export files of the general kind observed (comment-prefixed metadata header of variable length, followed by data rows).</w:t>
      </w:r>
    </w:p>
    <w:p>
      <w:pPr>
        <w:pStyle w:val="ListParagraph"/>
        <w:numPr>
          <w:ilvl w:val="0"/>
          <w:numId w:val="1"/>
        </w:numPr>
        <w:spacing w:after="100"/>
      </w:pPr>
      <w:r>
        <w:t xml:space="preserve">Detecting file structure empirically (delimiter, encoding, header presence/format, column count) rather than assuming it.</w:t>
      </w:r>
    </w:p>
    <w:p>
      <w:pPr>
        <w:pStyle w:val="ListParagraph"/>
        <w:numPr>
          <w:ilvl w:val="0"/>
          <w:numId w:val="1"/>
        </w:numPr>
        <w:spacing w:after="100"/>
      </w:pPr>
      <w:r>
        <w:t xml:space="preserve">Performing the same category of data-quality observations demonstrated in the notebook: duplicate header detection, malformed/ragged row detection, missing-value token discovery, duplicate RSID detection, and duplicate chromosome-position pair detection.</w:t>
      </w:r>
    </w:p>
    <w:p>
      <w:pPr>
        <w:pStyle w:val="ListParagraph"/>
        <w:numPr>
          <w:ilvl w:val="0"/>
          <w:numId w:val="1"/>
        </w:numPr>
        <w:spacing w:after="100"/>
      </w:pPr>
      <w:r>
        <w:t xml:space="preserve">Producing descriptive, per-file structural and genomic-notation profiling output (column names, row counts, chromosome label inventories, genotype string-length distributions, indel/haploid token counts) equivalent to notebook Sections 4 and 6.</w:t>
      </w:r>
    </w:p>
    <w:p>
      <w:pPr>
        <w:pStyle w:val="Heading2"/>
        <w:spacing w:after="120" w:before="240"/>
      </w:pPr>
      <w:r>
        <w:t xml:space="preserve">2.2 Out of Scope (Summary)</w:t>
      </w:r>
    </w:p>
    <w:p>
      <w:pPr>
        <w:spacing w:after="160"/>
        <w:jc w:val="both"/>
      </w:pPr>
      <w:r>
        <w:rPr>
          <w:rFonts w:ascii="Calibri" w:cs="Calibri" w:eastAsia="Calibri" w:hAnsi="Calibri"/>
          <w:sz w:val="22"/>
          <w:szCs w:val="22"/>
        </w:rPr>
        <w:t xml:space="preserve">Consistent with the notebook's explicit boundaries, this SRS excludes any biological interpretation, cross-dataset comparison, strand verification/correction, chromosome-notation reconciliation, missing-value handling policy, or genotype-encoding unification. Section 11 enumerates these exclusions in full, each traceable to an explicit statement in the notebook's own summary.</w:t>
      </w:r>
    </w:p>
    <w:p>
      <w:pPr>
        <w:pStyle w:val="Heading1"/>
        <w:spacing w:after="160" w:before="360"/>
      </w:pPr>
      <w:r>
        <w:t xml:space="preserve">3. Objectives</w:t>
      </w:r>
    </w:p>
    <w:p>
      <w:pPr>
        <w:spacing w:after="160"/>
        <w:jc w:val="both"/>
      </w:pPr>
      <w:r>
        <w:rPr>
          <w:rFonts w:ascii="Calibri" w:cs="Calibri" w:eastAsia="Calibri" w:hAnsi="Calibri"/>
          <w:sz w:val="22"/>
          <w:szCs w:val="22"/>
        </w:rPr>
        <w:t xml:space="preserve">The objectives below are limited to what the notebook's observations can justify. Each is a direct consequence of a structural finding, not an assumption about future biological or predictive functionality.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200"/>
        <w:gridCol w:w="8000"/>
      </w:tblGrid>
      <w:tr>
        <w:tc>
          <w:tcPr>
            <w:tcW w:type="dxa" w:w="1200"/>
            <w:shd w:fill="1F3864" w:color="auto" w:val="clear"/>
            <w:tcMar>
              <w:top w:type="dxa" w:w="80"/>
              <w:left w:type="dxa" w:w="100"/>
              <w:bottom w:type="dxa" w:w="80"/>
              <w:right w:type="dxa" w:w="100"/>
            </w:tcMar>
          </w:tcPr>
          <w:p>
            <w:r>
              <w:rPr>
                <w:rFonts w:ascii="Calibri" w:cs="Calibri" w:eastAsia="Calibri" w:hAnsi="Calibri"/>
                <w:b/>
                <w:bCs/>
                <w:color w:val="FFFFFF"/>
                <w:sz w:val="20"/>
                <w:szCs w:val="20"/>
              </w:rPr>
              <w:t xml:space="preserve">ID</w:t>
            </w:r>
          </w:p>
        </w:tc>
        <w:tc>
          <w:tcPr>
            <w:tcW w:type="dxa" w:w="8000"/>
            <w:shd w:fill="1F3864" w:color="auto" w:val="clear"/>
            <w:tcMar>
              <w:top w:type="dxa" w:w="80"/>
              <w:left w:type="dxa" w:w="100"/>
              <w:bottom w:type="dxa" w:w="80"/>
              <w:right w:type="dxa" w:w="100"/>
            </w:tcMar>
          </w:tcPr>
          <w:p>
            <w:r>
              <w:rPr>
                <w:rFonts w:ascii="Calibri" w:cs="Calibri" w:eastAsia="Calibri" w:hAnsi="Calibri"/>
                <w:b/>
                <w:bCs/>
                <w:color w:val="FFFFFF"/>
                <w:sz w:val="20"/>
                <w:szCs w:val="20"/>
              </w:rPr>
              <w:t xml:space="preserve">Requirement</w:t>
            </w:r>
          </w:p>
        </w:tc>
      </w:tr>
      <w:tr>
        <w:tc>
          <w:tcPr>
            <w:tcW w:type="dxa" w:w="1200"/>
            <w:tcMar>
              <w:top w:type="dxa" w:w="80"/>
              <w:left w:type="dxa" w:w="100"/>
              <w:bottom w:type="dxa" w:w="80"/>
              <w:right w:type="dxa" w:w="100"/>
            </w:tcMar>
          </w:tcPr>
          <w:p>
            <w:r>
              <w:rPr>
                <w:rFonts w:ascii="Calibri" w:cs="Calibri" w:eastAsia="Calibri" w:hAnsi="Calibri"/>
                <w:b/>
                <w:bCs/>
                <w:sz w:val="20"/>
                <w:szCs w:val="20"/>
              </w:rPr>
              <w:t xml:space="preserve">OBJ-1</w:t>
            </w:r>
          </w:p>
        </w:tc>
        <w:tc>
          <w:tcPr>
            <w:tcW w:type="dxa" w:w="8000"/>
            <w:tcMar>
              <w:top w:type="dxa" w:w="80"/>
              <w:left w:type="dxa" w:w="100"/>
              <w:bottom w:type="dxa" w:w="80"/>
              <w:right w:type="dxa" w:w="100"/>
            </w:tcMar>
          </w:tcPr>
          <w:p>
            <w:r>
              <w:rPr>
                <w:rFonts w:ascii="Calibri" w:cs="Calibri" w:eastAsia="Calibri" w:hAnsi="Calibri"/>
                <w:b w:val="false"/>
                <w:bCs w:val="false"/>
                <w:sz w:val="20"/>
                <w:szCs w:val="20"/>
              </w:rPr>
              <w:t xml:space="preserve">Enable structurally faithful ingestion of raw genotype export files without loss, reordering, deduplication, or alteration of source data, mirroring the non-destructive loading approach demonstrated in the notebook (Section 2).</w:t>
            </w:r>
          </w:p>
        </w:tc>
      </w:tr>
      <w:tr>
        <w:tc>
          <w:tcPr>
            <w:tcW w:type="dxa" w:w="1200"/>
            <w:tcMar>
              <w:top w:type="dxa" w:w="80"/>
              <w:left w:type="dxa" w:w="100"/>
              <w:bottom w:type="dxa" w:w="80"/>
              <w:right w:type="dxa" w:w="100"/>
            </w:tcMar>
          </w:tcPr>
          <w:p>
            <w:r>
              <w:rPr>
                <w:rFonts w:ascii="Calibri" w:cs="Calibri" w:eastAsia="Calibri" w:hAnsi="Calibri"/>
                <w:b/>
                <w:bCs/>
                <w:sz w:val="20"/>
                <w:szCs w:val="20"/>
              </w:rPr>
              <w:t xml:space="preserve">OBJ-2</w:t>
            </w:r>
          </w:p>
        </w:tc>
        <w:tc>
          <w:tcPr>
            <w:tcW w:type="dxa" w:w="8000"/>
            <w:tcMar>
              <w:top w:type="dxa" w:w="80"/>
              <w:left w:type="dxa" w:w="100"/>
              <w:bottom w:type="dxa" w:w="80"/>
              <w:right w:type="dxa" w:w="100"/>
            </w:tcMar>
          </w:tcPr>
          <w:p>
            <w:r>
              <w:rPr>
                <w:rFonts w:ascii="Calibri" w:cs="Calibri" w:eastAsia="Calibri" w:hAnsi="Calibri"/>
                <w:b w:val="false"/>
                <w:bCs w:val="false"/>
                <w:sz w:val="20"/>
                <w:szCs w:val="20"/>
              </w:rPr>
              <w:t xml:space="preserve">Enable empirical, rather than assumed, detection of file format characteristics (delimiter, encoding, header type/position), since the two evidenced input files differ in every one of these respects.</w:t>
            </w:r>
          </w:p>
        </w:tc>
      </w:tr>
      <w:tr>
        <w:tc>
          <w:tcPr>
            <w:tcW w:type="dxa" w:w="1200"/>
            <w:tcMar>
              <w:top w:type="dxa" w:w="80"/>
              <w:left w:type="dxa" w:w="100"/>
              <w:bottom w:type="dxa" w:w="80"/>
              <w:right w:type="dxa" w:w="100"/>
            </w:tcMar>
          </w:tcPr>
          <w:p>
            <w:r>
              <w:rPr>
                <w:rFonts w:ascii="Calibri" w:cs="Calibri" w:eastAsia="Calibri" w:hAnsi="Calibri"/>
                <w:b/>
                <w:bCs/>
                <w:sz w:val="20"/>
                <w:szCs w:val="20"/>
              </w:rPr>
              <w:t xml:space="preserve">OBJ-3</w:t>
            </w:r>
          </w:p>
        </w:tc>
        <w:tc>
          <w:tcPr>
            <w:tcW w:type="dxa" w:w="8000"/>
            <w:tcMar>
              <w:top w:type="dxa" w:w="80"/>
              <w:left w:type="dxa" w:w="100"/>
              <w:bottom w:type="dxa" w:w="80"/>
              <w:right w:type="dxa" w:w="100"/>
            </w:tcMar>
          </w:tcPr>
          <w:p>
            <w:r>
              <w:rPr>
                <w:rFonts w:ascii="Calibri" w:cs="Calibri" w:eastAsia="Calibri" w:hAnsi="Calibri"/>
                <w:b w:val="false"/>
                <w:bCs w:val="false"/>
                <w:sz w:val="20"/>
                <w:szCs w:val="20"/>
              </w:rPr>
              <w:t xml:space="preserve">Enable systematic, reproducible data-quality observation (duplicates, malformed rows, missing-value tokens) equivalent to notebook Section 5, so that data-quality findings can be regenerated on demand rather than restated from memory.</w:t>
            </w:r>
          </w:p>
        </w:tc>
      </w:tr>
      <w:tr>
        <w:tc>
          <w:tcPr>
            <w:tcW w:type="dxa" w:w="1200"/>
            <w:tcMar>
              <w:top w:type="dxa" w:w="80"/>
              <w:left w:type="dxa" w:w="100"/>
              <w:bottom w:type="dxa" w:w="80"/>
              <w:right w:type="dxa" w:w="100"/>
            </w:tcMar>
          </w:tcPr>
          <w:p>
            <w:r>
              <w:rPr>
                <w:rFonts w:ascii="Calibri" w:cs="Calibri" w:eastAsia="Calibri" w:hAnsi="Calibri"/>
                <w:b/>
                <w:bCs/>
                <w:sz w:val="20"/>
                <w:szCs w:val="20"/>
              </w:rPr>
              <w:t xml:space="preserve">OBJ-4</w:t>
            </w:r>
          </w:p>
        </w:tc>
        <w:tc>
          <w:tcPr>
            <w:tcW w:type="dxa" w:w="8000"/>
            <w:tcMar>
              <w:top w:type="dxa" w:w="80"/>
              <w:left w:type="dxa" w:w="100"/>
              <w:bottom w:type="dxa" w:w="80"/>
              <w:right w:type="dxa" w:w="100"/>
            </w:tcMar>
          </w:tcPr>
          <w:p>
            <w:r>
              <w:rPr>
                <w:rFonts w:ascii="Calibri" w:cs="Calibri" w:eastAsia="Calibri" w:hAnsi="Calibri"/>
                <w:b w:val="false"/>
                <w:bCs w:val="false"/>
                <w:sz w:val="20"/>
                <w:szCs w:val="20"/>
              </w:rPr>
              <w:t xml:space="preserve">Enable descriptive profiling of genomic notation conventions (chromosome labelling scheme, genotype encoding layout) per file, without asserting equivalence or compatibility between files, consistent with notebook Section 6 and Section 7.2.</w:t>
            </w:r>
          </w:p>
        </w:tc>
      </w:tr>
      <w:tr>
        <w:tc>
          <w:tcPr>
            <w:tcW w:type="dxa" w:w="1200"/>
            <w:tcMar>
              <w:top w:type="dxa" w:w="80"/>
              <w:left w:type="dxa" w:w="100"/>
              <w:bottom w:type="dxa" w:w="80"/>
              <w:right w:type="dxa" w:w="100"/>
            </w:tcMar>
          </w:tcPr>
          <w:p>
            <w:r>
              <w:rPr>
                <w:rFonts w:ascii="Calibri" w:cs="Calibri" w:eastAsia="Calibri" w:hAnsi="Calibri"/>
                <w:b/>
                <w:bCs/>
                <w:sz w:val="20"/>
                <w:szCs w:val="20"/>
              </w:rPr>
              <w:t xml:space="preserve">OBJ-5</w:t>
            </w:r>
          </w:p>
        </w:tc>
        <w:tc>
          <w:tcPr>
            <w:tcW w:type="dxa" w:w="8000"/>
            <w:tcMar>
              <w:top w:type="dxa" w:w="80"/>
              <w:left w:type="dxa" w:w="100"/>
              <w:bottom w:type="dxa" w:w="80"/>
              <w:right w:type="dxa" w:w="100"/>
            </w:tcMar>
          </w:tcPr>
          <w:p>
            <w:r>
              <w:rPr>
                <w:rFonts w:ascii="Calibri" w:cs="Calibri" w:eastAsia="Calibri" w:hAnsi="Calibri"/>
                <w:b w:val="false"/>
                <w:bCs w:val="false"/>
                <w:sz w:val="20"/>
                <w:szCs w:val="20"/>
              </w:rPr>
              <w:t xml:space="preserve">Preserve, and make explicit, every open question the notebook identified as requiring future validation (Section 7.3), so that no later design phase inherits an unstated assumption.</w:t>
            </w:r>
          </w:p>
        </w:tc>
      </w:tr>
    </w:tbl>
    <w:p>
      <w:pPr>
        <w:pStyle w:val="Heading1"/>
        <w:spacing w:after="160" w:before="360"/>
      </w:pPr>
      <w:r>
        <w:t xml:space="preserve">4. Functional Requirements</w:t>
      </w:r>
    </w:p>
    <w:p>
      <w:pPr>
        <w:spacing w:after="160"/>
        <w:jc w:val="both"/>
      </w:pPr>
      <w:r>
        <w:rPr>
          <w:rFonts w:ascii="Calibri" w:cs="Calibri" w:eastAsia="Calibri" w:hAnsi="Calibri"/>
          <w:sz w:val="22"/>
          <w:szCs w:val="22"/>
        </w:rPr>
        <w:t xml:space="preserve">Each functional requirement below is directly traceable to an operation or observation actually performed in the notebook. Where the notebook performed a check but did not resolve or act on the finding (e.g. it counted duplicates but did not judge their cause), the corresponding requirement is limited to reporting, not resolution.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200"/>
        <w:gridCol w:w="8000"/>
      </w:tblGrid>
      <w:tr>
        <w:tc>
          <w:tcPr>
            <w:tcW w:type="dxa" w:w="1200"/>
            <w:shd w:fill="1F3864" w:color="auto" w:val="clear"/>
            <w:tcMar>
              <w:top w:type="dxa" w:w="80"/>
              <w:left w:type="dxa" w:w="100"/>
              <w:bottom w:type="dxa" w:w="80"/>
              <w:right w:type="dxa" w:w="100"/>
            </w:tcMar>
          </w:tcPr>
          <w:p>
            <w:r>
              <w:rPr>
                <w:rFonts w:ascii="Calibri" w:cs="Calibri" w:eastAsia="Calibri" w:hAnsi="Calibri"/>
                <w:b/>
                <w:bCs/>
                <w:color w:val="FFFFFF"/>
                <w:sz w:val="20"/>
                <w:szCs w:val="20"/>
              </w:rPr>
              <w:t xml:space="preserve">ID</w:t>
            </w:r>
          </w:p>
        </w:tc>
        <w:tc>
          <w:tcPr>
            <w:tcW w:type="dxa" w:w="8000"/>
            <w:shd w:fill="1F3864" w:color="auto" w:val="clear"/>
            <w:tcMar>
              <w:top w:type="dxa" w:w="80"/>
              <w:left w:type="dxa" w:w="100"/>
              <w:bottom w:type="dxa" w:w="80"/>
              <w:right w:type="dxa" w:w="100"/>
            </w:tcMar>
          </w:tcPr>
          <w:p>
            <w:r>
              <w:rPr>
                <w:rFonts w:ascii="Calibri" w:cs="Calibri" w:eastAsia="Calibri" w:hAnsi="Calibri"/>
                <w:b/>
                <w:bCs/>
                <w:color w:val="FFFFFF"/>
                <w:sz w:val="20"/>
                <w:szCs w:val="20"/>
              </w:rPr>
              <w:t xml:space="preserve">Requirement</w:t>
            </w:r>
          </w:p>
        </w:tc>
      </w:tr>
      <w:tr>
        <w:tc>
          <w:tcPr>
            <w:tcW w:type="dxa" w:w="1200"/>
            <w:tcMar>
              <w:top w:type="dxa" w:w="80"/>
              <w:left w:type="dxa" w:w="100"/>
              <w:bottom w:type="dxa" w:w="80"/>
              <w:right w:type="dxa" w:w="100"/>
            </w:tcMar>
          </w:tcPr>
          <w:p>
            <w:r>
              <w:rPr>
                <w:rFonts w:ascii="Calibri" w:cs="Calibri" w:eastAsia="Calibri" w:hAnsi="Calibri"/>
                <w:b/>
                <w:bCs/>
                <w:sz w:val="20"/>
                <w:szCs w:val="20"/>
              </w:rPr>
              <w:t xml:space="preserve">FR-1</w:t>
            </w:r>
          </w:p>
        </w:tc>
        <w:tc>
          <w:tcPr>
            <w:tcW w:type="dxa" w:w="8000"/>
            <w:tcMar>
              <w:top w:type="dxa" w:w="80"/>
              <w:left w:type="dxa" w:w="100"/>
              <w:bottom w:type="dxa" w:w="80"/>
              <w:right w:type="dxa" w:w="100"/>
            </w:tcMar>
          </w:tcPr>
          <w:p>
            <w:r>
              <w:rPr>
                <w:rFonts w:ascii="Calibri" w:cs="Calibri" w:eastAsia="Calibri" w:hAnsi="Calibri"/>
                <w:b w:val="false"/>
                <w:bCs w:val="false"/>
                <w:sz w:val="20"/>
                <w:szCs w:val="20"/>
              </w:rPr>
              <w:t xml:space="preserve">The system shall separate comment/metadata lines (lines beginning with '#') from data lines on ingestion, without discarding either, since both evidenced files carry a leading comment block of differing length (18 lines in Dataset A; 22 lines in Dataset B).</w:t>
            </w:r>
          </w:p>
        </w:tc>
      </w:tr>
      <w:tr>
        <w:tc>
          <w:tcPr>
            <w:tcW w:type="dxa" w:w="1200"/>
            <w:tcMar>
              <w:top w:type="dxa" w:w="80"/>
              <w:left w:type="dxa" w:w="100"/>
              <w:bottom w:type="dxa" w:w="80"/>
              <w:right w:type="dxa" w:w="100"/>
            </w:tcMar>
          </w:tcPr>
          <w:p>
            <w:r>
              <w:rPr>
                <w:rFonts w:ascii="Calibri" w:cs="Calibri" w:eastAsia="Calibri" w:hAnsi="Calibri"/>
                <w:b/>
                <w:bCs/>
                <w:sz w:val="20"/>
                <w:szCs w:val="20"/>
              </w:rPr>
              <w:t xml:space="preserve">FR-2</w:t>
            </w:r>
          </w:p>
        </w:tc>
        <w:tc>
          <w:tcPr>
            <w:tcW w:type="dxa" w:w="8000"/>
            <w:tcMar>
              <w:top w:type="dxa" w:w="80"/>
              <w:left w:type="dxa" w:w="100"/>
              <w:bottom w:type="dxa" w:w="80"/>
              <w:right w:type="dxa" w:w="100"/>
            </w:tcMar>
          </w:tcPr>
          <w:p>
            <w:r>
              <w:rPr>
                <w:rFonts w:ascii="Calibri" w:cs="Calibri" w:eastAsia="Calibri" w:hAnsi="Calibri"/>
                <w:b w:val="false"/>
                <w:bCs w:val="false"/>
                <w:sz w:val="20"/>
                <w:szCs w:val="20"/>
              </w:rPr>
              <w:t xml:space="preserve">The system shall detect the field delimiter empirically rather than assume a fixed value, since delimiter detection in the notebook was performed via character-frequency analysis rather than hard-coded (both evidenced files use tab-delimited fields, but this shall not be assumed for unseen files).</w:t>
            </w:r>
          </w:p>
        </w:tc>
      </w:tr>
      <w:tr>
        <w:tc>
          <w:tcPr>
            <w:tcW w:type="dxa" w:w="1200"/>
            <w:tcMar>
              <w:top w:type="dxa" w:w="80"/>
              <w:left w:type="dxa" w:w="100"/>
              <w:bottom w:type="dxa" w:w="80"/>
              <w:right w:type="dxa" w:w="100"/>
            </w:tcMar>
          </w:tcPr>
          <w:p>
            <w:r>
              <w:rPr>
                <w:rFonts w:ascii="Calibri" w:cs="Calibri" w:eastAsia="Calibri" w:hAnsi="Calibri"/>
                <w:b/>
                <w:bCs/>
                <w:sz w:val="20"/>
                <w:szCs w:val="20"/>
              </w:rPr>
              <w:t xml:space="preserve">FR-3</w:t>
            </w:r>
          </w:p>
        </w:tc>
        <w:tc>
          <w:tcPr>
            <w:tcW w:type="dxa" w:w="8000"/>
            <w:tcMar>
              <w:top w:type="dxa" w:w="80"/>
              <w:left w:type="dxa" w:w="100"/>
              <w:bottom w:type="dxa" w:w="80"/>
              <w:right w:type="dxa" w:w="100"/>
            </w:tcMar>
          </w:tcPr>
          <w:p>
            <w:r>
              <w:rPr>
                <w:rFonts w:ascii="Calibri" w:cs="Calibri" w:eastAsia="Calibri" w:hAnsi="Calibri"/>
                <w:b w:val="false"/>
                <w:bCs w:val="false"/>
                <w:sz w:val="20"/>
                <w:szCs w:val="20"/>
              </w:rPr>
              <w:t xml:space="preserve">The system shall detect whether the first non-comment line is a column header row or an already-valid data row, and shall correctly handle both the case where the header is an uncommented data line (as in Dataset A) and the case where no uncommented header exists and the column layout is documented only inside a comment line (as in Dataset B).</w:t>
            </w:r>
          </w:p>
        </w:tc>
      </w:tr>
      <w:tr>
        <w:tc>
          <w:tcPr>
            <w:tcW w:type="dxa" w:w="1200"/>
            <w:tcMar>
              <w:top w:type="dxa" w:w="80"/>
              <w:left w:type="dxa" w:w="100"/>
              <w:bottom w:type="dxa" w:w="80"/>
              <w:right w:type="dxa" w:w="100"/>
            </w:tcMar>
          </w:tcPr>
          <w:p>
            <w:r>
              <w:rPr>
                <w:rFonts w:ascii="Calibri" w:cs="Calibri" w:eastAsia="Calibri" w:hAnsi="Calibri"/>
                <w:b/>
                <w:bCs/>
                <w:sz w:val="20"/>
                <w:szCs w:val="20"/>
              </w:rPr>
              <w:t xml:space="preserve">FR-4</w:t>
            </w:r>
          </w:p>
        </w:tc>
        <w:tc>
          <w:tcPr>
            <w:tcW w:type="dxa" w:w="8000"/>
            <w:tcMar>
              <w:top w:type="dxa" w:w="80"/>
              <w:left w:type="dxa" w:w="100"/>
              <w:bottom w:type="dxa" w:w="80"/>
              <w:right w:type="dxa" w:w="100"/>
            </w:tcMar>
          </w:tcPr>
          <w:p>
            <w:r>
              <w:rPr>
                <w:rFonts w:ascii="Calibri" w:cs="Calibri" w:eastAsia="Calibri" w:hAnsi="Calibri"/>
                <w:b w:val="false"/>
                <w:bCs w:val="false"/>
                <w:sz w:val="20"/>
                <w:szCs w:val="20"/>
              </w:rPr>
              <w:t xml:space="preserve">The system shall split each data line into fields using the detected delimiter without casting, coercing, trimming, or otherwise altering field values.</w:t>
            </w:r>
          </w:p>
        </w:tc>
      </w:tr>
      <w:tr>
        <w:tc>
          <w:tcPr>
            <w:tcW w:type="dxa" w:w="1200"/>
            <w:tcMar>
              <w:top w:type="dxa" w:w="80"/>
              <w:left w:type="dxa" w:w="100"/>
              <w:bottom w:type="dxa" w:w="80"/>
              <w:right w:type="dxa" w:w="100"/>
            </w:tcMar>
          </w:tcPr>
          <w:p>
            <w:r>
              <w:rPr>
                <w:rFonts w:ascii="Calibri" w:cs="Calibri" w:eastAsia="Calibri" w:hAnsi="Calibri"/>
                <w:b/>
                <w:bCs/>
                <w:sz w:val="20"/>
                <w:szCs w:val="20"/>
              </w:rPr>
              <w:t xml:space="preserve">FR-5</w:t>
            </w:r>
          </w:p>
        </w:tc>
        <w:tc>
          <w:tcPr>
            <w:tcW w:type="dxa" w:w="8000"/>
            <w:tcMar>
              <w:top w:type="dxa" w:w="80"/>
              <w:left w:type="dxa" w:w="100"/>
              <w:bottom w:type="dxa" w:w="80"/>
              <w:right w:type="dxa" w:w="100"/>
            </w:tcMar>
          </w:tcPr>
          <w:p>
            <w:r>
              <w:rPr>
                <w:rFonts w:ascii="Calibri" w:cs="Calibri" w:eastAsia="Calibri" w:hAnsi="Calibri"/>
                <w:b w:val="false"/>
                <w:bCs w:val="false"/>
                <w:sz w:val="20"/>
                <w:szCs w:val="20"/>
              </w:rPr>
              <w:t xml:space="preserve">The system shall report the observed column-count distribution across all data rows per file and shall flag rows whose column count differs from the file's modal/expected column count as malformed (0 malformed rows were observed in both evidenced files: 677,436 rows at 5 columns in Dataset A; 631,455 rows at 4 columns in Dataset B).</w:t>
            </w:r>
          </w:p>
        </w:tc>
      </w:tr>
      <w:tr>
        <w:tc>
          <w:tcPr>
            <w:tcW w:type="dxa" w:w="1200"/>
            <w:tcMar>
              <w:top w:type="dxa" w:w="80"/>
              <w:left w:type="dxa" w:w="100"/>
              <w:bottom w:type="dxa" w:w="80"/>
              <w:right w:type="dxa" w:w="100"/>
            </w:tcMar>
          </w:tcPr>
          <w:p>
            <w:r>
              <w:rPr>
                <w:rFonts w:ascii="Calibri" w:cs="Calibri" w:eastAsia="Calibri" w:hAnsi="Calibri"/>
                <w:b/>
                <w:bCs/>
                <w:sz w:val="20"/>
                <w:szCs w:val="20"/>
              </w:rPr>
              <w:t xml:space="preserve">FR-6</w:t>
            </w:r>
          </w:p>
        </w:tc>
        <w:tc>
          <w:tcPr>
            <w:tcW w:type="dxa" w:w="8000"/>
            <w:tcMar>
              <w:top w:type="dxa" w:w="80"/>
              <w:left w:type="dxa" w:w="100"/>
              <w:bottom w:type="dxa" w:w="80"/>
              <w:right w:type="dxa" w:w="100"/>
            </w:tcMar>
          </w:tcPr>
          <w:p>
            <w:r>
              <w:rPr>
                <w:rFonts w:ascii="Calibri" w:cs="Calibri" w:eastAsia="Calibri" w:hAnsi="Calibri"/>
                <w:b w:val="false"/>
                <w:bCs w:val="false"/>
                <w:sz w:val="20"/>
                <w:szCs w:val="20"/>
              </w:rPr>
              <w:t xml:space="preserve">The system shall scan designated genotype/allele columns and report the frequency of every distinct literal value observed, without pre-assuming which token(s) represent a missing or no-call value beyond what a file's own header documents. (Dataset A's allele columns were observed to contain the literal token '0' in 502 rows in addition to standard single-letter alleles and 'I'/'D' tokens; Dataset B's genotype column was observed to contain the documented no-call token '--' in 10,093 rows, among other multi-character tokens.)</w:t>
            </w:r>
          </w:p>
        </w:tc>
      </w:tr>
      <w:tr>
        <w:tc>
          <w:tcPr>
            <w:tcW w:type="dxa" w:w="1200"/>
            <w:tcMar>
              <w:top w:type="dxa" w:w="80"/>
              <w:left w:type="dxa" w:w="100"/>
              <w:bottom w:type="dxa" w:w="80"/>
              <w:right w:type="dxa" w:w="100"/>
            </w:tcMar>
          </w:tcPr>
          <w:p>
            <w:r>
              <w:rPr>
                <w:rFonts w:ascii="Calibri" w:cs="Calibri" w:eastAsia="Calibri" w:hAnsi="Calibri"/>
                <w:b/>
                <w:bCs/>
                <w:sz w:val="20"/>
                <w:szCs w:val="20"/>
              </w:rPr>
              <w:t xml:space="preserve">FR-7</w:t>
            </w:r>
          </w:p>
        </w:tc>
        <w:tc>
          <w:tcPr>
            <w:tcW w:type="dxa" w:w="8000"/>
            <w:tcMar>
              <w:top w:type="dxa" w:w="80"/>
              <w:left w:type="dxa" w:w="100"/>
              <w:bottom w:type="dxa" w:w="80"/>
              <w:right w:type="dxa" w:w="100"/>
            </w:tcMar>
          </w:tcPr>
          <w:p>
            <w:r>
              <w:rPr>
                <w:rFonts w:ascii="Calibri" w:cs="Calibri" w:eastAsia="Calibri" w:hAnsi="Calibri"/>
                <w:b w:val="false"/>
                <w:bCs w:val="false"/>
                <w:sz w:val="20"/>
                <w:szCs w:val="20"/>
              </w:rPr>
              <w:t xml:space="preserve">The system shall detect and report data rows that duplicate the column header row verbatim (0 such rows were observed in either evidenced file).</w:t>
            </w:r>
          </w:p>
        </w:tc>
      </w:tr>
      <w:tr>
        <w:tc>
          <w:tcPr>
            <w:tcW w:type="dxa" w:w="1200"/>
            <w:tcMar>
              <w:top w:type="dxa" w:w="80"/>
              <w:left w:type="dxa" w:w="100"/>
              <w:bottom w:type="dxa" w:w="80"/>
              <w:right w:type="dxa" w:w="100"/>
            </w:tcMar>
          </w:tcPr>
          <w:p>
            <w:r>
              <w:rPr>
                <w:rFonts w:ascii="Calibri" w:cs="Calibri" w:eastAsia="Calibri" w:hAnsi="Calibri"/>
                <w:b/>
                <w:bCs/>
                <w:sz w:val="20"/>
                <w:szCs w:val="20"/>
              </w:rPr>
              <w:t xml:space="preserve">FR-8</w:t>
            </w:r>
          </w:p>
        </w:tc>
        <w:tc>
          <w:tcPr>
            <w:tcW w:type="dxa" w:w="8000"/>
            <w:tcMar>
              <w:top w:type="dxa" w:w="80"/>
              <w:left w:type="dxa" w:w="100"/>
              <w:bottom w:type="dxa" w:w="80"/>
              <w:right w:type="dxa" w:w="100"/>
            </w:tcMar>
          </w:tcPr>
          <w:p>
            <w:r>
              <w:rPr>
                <w:rFonts w:ascii="Calibri" w:cs="Calibri" w:eastAsia="Calibri" w:hAnsi="Calibri"/>
                <w:b w:val="false"/>
                <w:bCs w:val="false"/>
                <w:sz w:val="20"/>
                <w:szCs w:val="20"/>
              </w:rPr>
              <w:t xml:space="preserve">The system shall detect and report RSID values that occur more than once within a single file (0 duplicated RSIDs were observed in either evidenced file).</w:t>
            </w:r>
          </w:p>
        </w:tc>
      </w:tr>
      <w:tr>
        <w:tc>
          <w:tcPr>
            <w:tcW w:type="dxa" w:w="1200"/>
            <w:tcMar>
              <w:top w:type="dxa" w:w="80"/>
              <w:left w:type="dxa" w:w="100"/>
              <w:bottom w:type="dxa" w:w="80"/>
              <w:right w:type="dxa" w:w="100"/>
            </w:tcMar>
          </w:tcPr>
          <w:p>
            <w:r>
              <w:rPr>
                <w:rFonts w:ascii="Calibri" w:cs="Calibri" w:eastAsia="Calibri" w:hAnsi="Calibri"/>
                <w:b/>
                <w:bCs/>
                <w:sz w:val="20"/>
                <w:szCs w:val="20"/>
              </w:rPr>
              <w:t xml:space="preserve">FR-9</w:t>
            </w:r>
          </w:p>
        </w:tc>
        <w:tc>
          <w:tcPr>
            <w:tcW w:type="dxa" w:w="8000"/>
            <w:tcMar>
              <w:top w:type="dxa" w:w="80"/>
              <w:left w:type="dxa" w:w="100"/>
              <w:bottom w:type="dxa" w:w="80"/>
              <w:right w:type="dxa" w:w="100"/>
            </w:tcMar>
          </w:tcPr>
          <w:p>
            <w:r>
              <w:rPr>
                <w:rFonts w:ascii="Calibri" w:cs="Calibri" w:eastAsia="Calibri" w:hAnsi="Calibri"/>
                <w:b w:val="false"/>
                <w:bCs w:val="false"/>
                <w:sz w:val="20"/>
                <w:szCs w:val="20"/>
              </w:rPr>
              <w:t xml:space="preserve">The system shall detect and report (chromosome, position) pairs that occur more than once within a single file, without judging the cause of any such duplication (614 duplicate pairs were observed in Dataset A; 2,401 in Dataset B — the notebook explicitly leaves the interpretation of these as probe redesigns, multi-allelic sites, or artefacts unresolved, and this requirement does likewise).</w:t>
            </w:r>
          </w:p>
        </w:tc>
      </w:tr>
      <w:tr>
        <w:tc>
          <w:tcPr>
            <w:tcW w:type="dxa" w:w="1200"/>
            <w:tcMar>
              <w:top w:type="dxa" w:w="80"/>
              <w:left w:type="dxa" w:w="100"/>
              <w:bottom w:type="dxa" w:w="80"/>
              <w:right w:type="dxa" w:w="100"/>
            </w:tcMar>
          </w:tcPr>
          <w:p>
            <w:r>
              <w:rPr>
                <w:rFonts w:ascii="Calibri" w:cs="Calibri" w:eastAsia="Calibri" w:hAnsi="Calibri"/>
                <w:b/>
                <w:bCs/>
                <w:sz w:val="20"/>
                <w:szCs w:val="20"/>
              </w:rPr>
              <w:t xml:space="preserve">FR-10</w:t>
            </w:r>
          </w:p>
        </w:tc>
        <w:tc>
          <w:tcPr>
            <w:tcW w:type="dxa" w:w="8000"/>
            <w:tcMar>
              <w:top w:type="dxa" w:w="80"/>
              <w:left w:type="dxa" w:w="100"/>
              <w:bottom w:type="dxa" w:w="80"/>
              <w:right w:type="dxa" w:w="100"/>
            </w:tcMar>
          </w:tcPr>
          <w:p>
            <w:r>
              <w:rPr>
                <w:rFonts w:ascii="Calibri" w:cs="Calibri" w:eastAsia="Calibri" w:hAnsi="Calibri"/>
                <w:b w:val="false"/>
                <w:bCs w:val="false"/>
                <w:sz w:val="20"/>
                <w:szCs w:val="20"/>
              </w:rPr>
              <w:t xml:space="preserve">The system shall enumerate the distinct chromosome label values present in a file together with their per-label row counts, without assuming that chromosome labels are equivalent or directly comparable across files (Dataset A was observed to use purely numeric labels, including codes beyond '22' up to '26'; Dataset B was observed to use numeric labels '1'–'22' plus the alphabetic labels 'X', 'Y', 'MT').</w:t>
            </w:r>
          </w:p>
        </w:tc>
      </w:tr>
      <w:tr>
        <w:tc>
          <w:tcPr>
            <w:tcW w:type="dxa" w:w="1200"/>
            <w:tcMar>
              <w:top w:type="dxa" w:w="80"/>
              <w:left w:type="dxa" w:w="100"/>
              <w:bottom w:type="dxa" w:w="80"/>
              <w:right w:type="dxa" w:w="100"/>
            </w:tcMar>
          </w:tcPr>
          <w:p>
            <w:r>
              <w:rPr>
                <w:rFonts w:ascii="Calibri" w:cs="Calibri" w:eastAsia="Calibri" w:hAnsi="Calibri"/>
                <w:b/>
                <w:bCs/>
                <w:sz w:val="20"/>
                <w:szCs w:val="20"/>
              </w:rPr>
              <w:t xml:space="preserve">FR-11</w:t>
            </w:r>
          </w:p>
        </w:tc>
        <w:tc>
          <w:tcPr>
            <w:tcW w:type="dxa" w:w="8000"/>
            <w:tcMar>
              <w:top w:type="dxa" w:w="80"/>
              <w:left w:type="dxa" w:w="100"/>
              <w:bottom w:type="dxa" w:w="80"/>
              <w:right w:type="dxa" w:w="100"/>
            </w:tcMar>
          </w:tcPr>
          <w:p>
            <w:r>
              <w:rPr>
                <w:rFonts w:ascii="Calibri" w:cs="Calibri" w:eastAsia="Calibri" w:hAnsi="Calibri"/>
                <w:b w:val="false"/>
                <w:bCs w:val="false"/>
                <w:sz w:val="20"/>
                <w:szCs w:val="20"/>
              </w:rPr>
              <w:t xml:space="preserve">The system shall detect and report the genotype/allele column layout of a file — specifically, whether genotype is represented as two single-value columns (as in Dataset A, where allele1 and allele2 were observed to be single-character in 100% of rows) or as a single combined genotype column of variable length (as in Dataset B, where genotype length was observed to be 2 characters in 609,331 rows and 1 character in 22,124 rows).</w:t>
            </w:r>
          </w:p>
        </w:tc>
      </w:tr>
      <w:tr>
        <w:tc>
          <w:tcPr>
            <w:tcW w:type="dxa" w:w="1200"/>
            <w:tcMar>
              <w:top w:type="dxa" w:w="80"/>
              <w:left w:type="dxa" w:w="100"/>
              <w:bottom w:type="dxa" w:w="80"/>
              <w:right w:type="dxa" w:w="100"/>
            </w:tcMar>
          </w:tcPr>
          <w:p>
            <w:r>
              <w:rPr>
                <w:rFonts w:ascii="Calibri" w:cs="Calibri" w:eastAsia="Calibri" w:hAnsi="Calibri"/>
                <w:b/>
                <w:bCs/>
                <w:sz w:val="20"/>
                <w:szCs w:val="20"/>
              </w:rPr>
              <w:t xml:space="preserve">FR-12</w:t>
            </w:r>
          </w:p>
        </w:tc>
        <w:tc>
          <w:tcPr>
            <w:tcW w:type="dxa" w:w="8000"/>
            <w:tcMar>
              <w:top w:type="dxa" w:w="80"/>
              <w:left w:type="dxa" w:w="100"/>
              <w:bottom w:type="dxa" w:w="80"/>
              <w:right w:type="dxa" w:w="100"/>
            </w:tcMar>
          </w:tcPr>
          <w:p>
            <w:r>
              <w:rPr>
                <w:rFonts w:ascii="Calibri" w:cs="Calibri" w:eastAsia="Calibri" w:hAnsi="Calibri"/>
                <w:b w:val="false"/>
                <w:bCs w:val="false"/>
                <w:sz w:val="20"/>
                <w:szCs w:val="20"/>
              </w:rPr>
              <w:t xml:space="preserve">For files using a single combined genotype column, the system shall separately report counts of documented insertion/deletion tokens ('II', 'DD', 'DI') and shall classify rows on sex-chromosome/mitochondrial labels (X, Y, MT) by single-character (haploid-style) versus two-character (diploid-style) genotype length (Dataset B was observed to contain 3,242 'II', 1,244 'DD', and 43 'DI' tokens; and 22,124 haploid-style versus 1,486 diploid-style rows on X/Y/MT).</w:t>
            </w:r>
          </w:p>
        </w:tc>
      </w:tr>
      <w:tr>
        <w:tc>
          <w:tcPr>
            <w:tcW w:type="dxa" w:w="1200"/>
            <w:tcMar>
              <w:top w:type="dxa" w:w="80"/>
              <w:left w:type="dxa" w:w="100"/>
              <w:bottom w:type="dxa" w:w="80"/>
              <w:right w:type="dxa" w:w="100"/>
            </w:tcMar>
          </w:tcPr>
          <w:p>
            <w:r>
              <w:rPr>
                <w:rFonts w:ascii="Calibri" w:cs="Calibri" w:eastAsia="Calibri" w:hAnsi="Calibri"/>
                <w:b/>
                <w:bCs/>
                <w:sz w:val="20"/>
                <w:szCs w:val="20"/>
              </w:rPr>
              <w:t xml:space="preserve">FR-13</w:t>
            </w:r>
          </w:p>
        </w:tc>
        <w:tc>
          <w:tcPr>
            <w:tcW w:type="dxa" w:w="8000"/>
            <w:tcMar>
              <w:top w:type="dxa" w:w="80"/>
              <w:left w:type="dxa" w:w="100"/>
              <w:bottom w:type="dxa" w:w="80"/>
              <w:right w:type="dxa" w:w="100"/>
            </w:tcMar>
          </w:tcPr>
          <w:p>
            <w:r>
              <w:rPr>
                <w:rFonts w:ascii="Calibri" w:cs="Calibri" w:eastAsia="Calibri" w:hAnsi="Calibri"/>
                <w:b w:val="false"/>
                <w:bCs w:val="false"/>
                <w:sz w:val="20"/>
                <w:szCs w:val="20"/>
              </w:rPr>
              <w:t xml:space="preserve">The system shall detect and report basic file-encoding characteristics for each input file, including presence of a byte-order mark and decodability under common text encodings (ASCII, UTF-8, UTF-8 with signature, Latin-1), without re-saving or re-encoding the source file (Dataset A was observed to be decodable as ASCII, UTF-8, UTF-8-sig, and Latin-1; Dataset B was observed to be decodable as UTF-8, UTF-8-sig, and Latin-1, but not as pure ASCII).</w:t>
            </w:r>
          </w:p>
        </w:tc>
      </w:tr>
      <w:tr>
        <w:tc>
          <w:tcPr>
            <w:tcW w:type="dxa" w:w="1200"/>
            <w:tcMar>
              <w:top w:type="dxa" w:w="80"/>
              <w:left w:type="dxa" w:w="100"/>
              <w:bottom w:type="dxa" w:w="80"/>
              <w:right w:type="dxa" w:w="100"/>
            </w:tcMar>
          </w:tcPr>
          <w:p>
            <w:r>
              <w:rPr>
                <w:rFonts w:ascii="Calibri" w:cs="Calibri" w:eastAsia="Calibri" w:hAnsi="Calibri"/>
                <w:b/>
                <w:bCs/>
                <w:sz w:val="20"/>
                <w:szCs w:val="20"/>
              </w:rPr>
              <w:t xml:space="preserve">FR-14</w:t>
            </w:r>
          </w:p>
        </w:tc>
        <w:tc>
          <w:tcPr>
            <w:tcW w:type="dxa" w:w="8000"/>
            <w:tcMar>
              <w:top w:type="dxa" w:w="80"/>
              <w:left w:type="dxa" w:w="100"/>
              <w:bottom w:type="dxa" w:w="80"/>
              <w:right w:type="dxa" w:w="100"/>
            </w:tcMar>
          </w:tcPr>
          <w:p>
            <w:r>
              <w:rPr>
                <w:rFonts w:ascii="Calibri" w:cs="Calibri" w:eastAsia="Calibri" w:hAnsi="Calibri"/>
                <w:b w:val="false"/>
                <w:bCs w:val="false"/>
                <w:sz w:val="20"/>
                <w:szCs w:val="20"/>
              </w:rPr>
              <w:t xml:space="preserve">The system shall not modify, move, rename, rewrite, deduplicate, or reorder any source input file at any point during ingestion, validation, or profiling, consistent with the read-only handling demonstrated throughout the notebook.</w:t>
            </w:r>
          </w:p>
        </w:tc>
      </w:tr>
      <w:tr>
        <w:tc>
          <w:tcPr>
            <w:tcW w:type="dxa" w:w="1200"/>
            <w:tcMar>
              <w:top w:type="dxa" w:w="80"/>
              <w:left w:type="dxa" w:w="100"/>
              <w:bottom w:type="dxa" w:w="80"/>
              <w:right w:type="dxa" w:w="100"/>
            </w:tcMar>
          </w:tcPr>
          <w:p>
            <w:r>
              <w:rPr>
                <w:rFonts w:ascii="Calibri" w:cs="Calibri" w:eastAsia="Calibri" w:hAnsi="Calibri"/>
                <w:b/>
                <w:bCs/>
                <w:sz w:val="20"/>
                <w:szCs w:val="20"/>
              </w:rPr>
              <w:t xml:space="preserve">FR-15</w:t>
            </w:r>
          </w:p>
        </w:tc>
        <w:tc>
          <w:tcPr>
            <w:tcW w:type="dxa" w:w="8000"/>
            <w:tcMar>
              <w:top w:type="dxa" w:w="80"/>
              <w:left w:type="dxa" w:w="100"/>
              <w:bottom w:type="dxa" w:w="80"/>
              <w:right w:type="dxa" w:w="100"/>
            </w:tcMar>
          </w:tcPr>
          <w:p>
            <w:r>
              <w:rPr>
                <w:rFonts w:ascii="Calibri" w:cs="Calibri" w:eastAsia="Calibri" w:hAnsi="Calibri"/>
                <w:b w:val="false"/>
                <w:bCs w:val="false"/>
                <w:sz w:val="20"/>
                <w:szCs w:val="20"/>
              </w:rPr>
              <w:t xml:space="preserve">The system shall generate structural and data-quality findings independently per input file and shall not perform any automated cross-file comparison, concordance check, or merge, since no such comparison was performed in the notebook; any future comparison capability is out of scope for this SRS and requires separate, future requirements definition.</w:t>
            </w:r>
          </w:p>
        </w:tc>
      </w:tr>
    </w:tbl>
    <w:p>
      <w:pPr>
        <w:pStyle w:val="Heading1"/>
        <w:spacing w:after="160" w:before="360"/>
      </w:pPr>
      <w:r>
        <w:t xml:space="preserve">5. Non-Functional Requirements</w:t>
      </w:r>
    </w:p>
    <w:p>
      <w:pPr>
        <w:spacing w:after="160"/>
        <w:jc w:val="both"/>
      </w:pPr>
      <w:r>
        <w:rPr>
          <w:rFonts w:ascii="Calibri" w:cs="Calibri" w:eastAsia="Calibri" w:hAnsi="Calibri"/>
          <w:sz w:val="22"/>
          <w:szCs w:val="22"/>
        </w:rPr>
        <w:t xml:space="preserve">Non-functional requirements are constrained to characteristics the notebook's own execution context demonstrates are necessary, and avoid prescribing implementation technology, which is out of scope for this document.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200"/>
        <w:gridCol w:w="8000"/>
      </w:tblGrid>
      <w:tr>
        <w:tc>
          <w:tcPr>
            <w:tcW w:type="dxa" w:w="1200"/>
            <w:shd w:fill="1F3864" w:color="auto" w:val="clear"/>
            <w:tcMar>
              <w:top w:type="dxa" w:w="80"/>
              <w:left w:type="dxa" w:w="100"/>
              <w:bottom w:type="dxa" w:w="80"/>
              <w:right w:type="dxa" w:w="100"/>
            </w:tcMar>
          </w:tcPr>
          <w:p>
            <w:r>
              <w:rPr>
                <w:rFonts w:ascii="Calibri" w:cs="Calibri" w:eastAsia="Calibri" w:hAnsi="Calibri"/>
                <w:b/>
                <w:bCs/>
                <w:color w:val="FFFFFF"/>
                <w:sz w:val="20"/>
                <w:szCs w:val="20"/>
              </w:rPr>
              <w:t xml:space="preserve">ID</w:t>
            </w:r>
          </w:p>
        </w:tc>
        <w:tc>
          <w:tcPr>
            <w:tcW w:type="dxa" w:w="8000"/>
            <w:shd w:fill="1F3864" w:color="auto" w:val="clear"/>
            <w:tcMar>
              <w:top w:type="dxa" w:w="80"/>
              <w:left w:type="dxa" w:w="100"/>
              <w:bottom w:type="dxa" w:w="80"/>
              <w:right w:type="dxa" w:w="100"/>
            </w:tcMar>
          </w:tcPr>
          <w:p>
            <w:r>
              <w:rPr>
                <w:rFonts w:ascii="Calibri" w:cs="Calibri" w:eastAsia="Calibri" w:hAnsi="Calibri"/>
                <w:b/>
                <w:bCs/>
                <w:color w:val="FFFFFF"/>
                <w:sz w:val="20"/>
                <w:szCs w:val="20"/>
              </w:rPr>
              <w:t xml:space="preserve">Requirement</w:t>
            </w:r>
          </w:p>
        </w:tc>
      </w:tr>
      <w:tr>
        <w:tc>
          <w:tcPr>
            <w:tcW w:type="dxa" w:w="1200"/>
            <w:tcMar>
              <w:top w:type="dxa" w:w="80"/>
              <w:left w:type="dxa" w:w="100"/>
              <w:bottom w:type="dxa" w:w="80"/>
              <w:right w:type="dxa" w:w="100"/>
            </w:tcMar>
          </w:tcPr>
          <w:p>
            <w:r>
              <w:rPr>
                <w:rFonts w:ascii="Calibri" w:cs="Calibri" w:eastAsia="Calibri" w:hAnsi="Calibri"/>
                <w:b/>
                <w:bCs/>
                <w:sz w:val="20"/>
                <w:szCs w:val="20"/>
              </w:rPr>
              <w:t xml:space="preserve">NFR-1</w:t>
            </w:r>
          </w:p>
        </w:tc>
        <w:tc>
          <w:tcPr>
            <w:tcW w:type="dxa" w:w="8000"/>
            <w:tcMar>
              <w:top w:type="dxa" w:w="80"/>
              <w:left w:type="dxa" w:w="100"/>
              <w:bottom w:type="dxa" w:w="80"/>
              <w:right w:type="dxa" w:w="100"/>
            </w:tcMar>
          </w:tcPr>
          <w:p>
            <w:r>
              <w:rPr>
                <w:rFonts w:ascii="Calibri" w:cs="Calibri" w:eastAsia="Calibri" w:hAnsi="Calibri"/>
                <w:b w:val="false"/>
                <w:bCs w:val="false"/>
                <w:sz w:val="20"/>
                <w:szCs w:val="20"/>
              </w:rPr>
              <w:t xml:space="preserve">Scale: the system shall process, without failure, individual input files of at least the size and line-count order of magnitude evidenced (approximately 15–18 MB and approximately 630,000–680,000 lines per file).</w:t>
            </w:r>
          </w:p>
        </w:tc>
      </w:tr>
      <w:tr>
        <w:tc>
          <w:tcPr>
            <w:tcW w:type="dxa" w:w="1200"/>
            <w:tcMar>
              <w:top w:type="dxa" w:w="80"/>
              <w:left w:type="dxa" w:w="100"/>
              <w:bottom w:type="dxa" w:w="80"/>
              <w:right w:type="dxa" w:w="100"/>
            </w:tcMar>
          </w:tcPr>
          <w:p>
            <w:r>
              <w:rPr>
                <w:rFonts w:ascii="Calibri" w:cs="Calibri" w:eastAsia="Calibri" w:hAnsi="Calibri"/>
                <w:b/>
                <w:bCs/>
                <w:sz w:val="20"/>
                <w:szCs w:val="20"/>
              </w:rPr>
              <w:t xml:space="preserve">NFR-2</w:t>
            </w:r>
          </w:p>
        </w:tc>
        <w:tc>
          <w:tcPr>
            <w:tcW w:type="dxa" w:w="8000"/>
            <w:tcMar>
              <w:top w:type="dxa" w:w="80"/>
              <w:left w:type="dxa" w:w="100"/>
              <w:bottom w:type="dxa" w:w="80"/>
              <w:right w:type="dxa" w:w="100"/>
            </w:tcMar>
          </w:tcPr>
          <w:p>
            <w:r>
              <w:rPr>
                <w:rFonts w:ascii="Calibri" w:cs="Calibri" w:eastAsia="Calibri" w:hAnsi="Calibri"/>
                <w:b w:val="false"/>
                <w:bCs w:val="false"/>
                <w:sz w:val="20"/>
                <w:szCs w:val="20"/>
              </w:rPr>
              <w:t xml:space="preserve">Non-destructiveness: all ingestion, validation, and profiling operations shall be read-only with respect to source files; no operation defined in this SRS shall write to, overwrite, or transform the original input file.</w:t>
            </w:r>
          </w:p>
        </w:tc>
      </w:tr>
      <w:tr>
        <w:tc>
          <w:tcPr>
            <w:tcW w:type="dxa" w:w="1200"/>
            <w:tcMar>
              <w:top w:type="dxa" w:w="80"/>
              <w:left w:type="dxa" w:w="100"/>
              <w:bottom w:type="dxa" w:w="80"/>
              <w:right w:type="dxa" w:w="100"/>
            </w:tcMar>
          </w:tcPr>
          <w:p>
            <w:r>
              <w:rPr>
                <w:rFonts w:ascii="Calibri" w:cs="Calibri" w:eastAsia="Calibri" w:hAnsi="Calibri"/>
                <w:b/>
                <w:bCs/>
                <w:sz w:val="20"/>
                <w:szCs w:val="20"/>
              </w:rPr>
              <w:t xml:space="preserve">NFR-3</w:t>
            </w:r>
          </w:p>
        </w:tc>
        <w:tc>
          <w:tcPr>
            <w:tcW w:type="dxa" w:w="8000"/>
            <w:tcMar>
              <w:top w:type="dxa" w:w="80"/>
              <w:left w:type="dxa" w:w="100"/>
              <w:bottom w:type="dxa" w:w="80"/>
              <w:right w:type="dxa" w:w="100"/>
            </w:tcMar>
          </w:tcPr>
          <w:p>
            <w:r>
              <w:rPr>
                <w:rFonts w:ascii="Calibri" w:cs="Calibri" w:eastAsia="Calibri" w:hAnsi="Calibri"/>
                <w:b w:val="false"/>
                <w:bCs w:val="false"/>
                <w:sz w:val="20"/>
                <w:szCs w:val="20"/>
              </w:rPr>
              <w:t xml:space="preserve">Determinism and reproducibility: given the same input file, all structural and data-quality checks (Section 4) shall produce identical results on repeated execution, so that findings can be regenerated and audited rather than taken on trust.</w:t>
            </w:r>
          </w:p>
        </w:tc>
      </w:tr>
      <w:tr>
        <w:tc>
          <w:tcPr>
            <w:tcW w:type="dxa" w:w="1200"/>
            <w:tcMar>
              <w:top w:type="dxa" w:w="80"/>
              <w:left w:type="dxa" w:w="100"/>
              <w:bottom w:type="dxa" w:w="80"/>
              <w:right w:type="dxa" w:w="100"/>
            </w:tcMar>
          </w:tcPr>
          <w:p>
            <w:r>
              <w:rPr>
                <w:rFonts w:ascii="Calibri" w:cs="Calibri" w:eastAsia="Calibri" w:hAnsi="Calibri"/>
                <w:b/>
                <w:bCs/>
                <w:sz w:val="20"/>
                <w:szCs w:val="20"/>
              </w:rPr>
              <w:t xml:space="preserve">NFR-4</w:t>
            </w:r>
          </w:p>
        </w:tc>
        <w:tc>
          <w:tcPr>
            <w:tcW w:type="dxa" w:w="8000"/>
            <w:tcMar>
              <w:top w:type="dxa" w:w="80"/>
              <w:left w:type="dxa" w:w="100"/>
              <w:bottom w:type="dxa" w:w="80"/>
              <w:right w:type="dxa" w:w="100"/>
            </w:tcMar>
          </w:tcPr>
          <w:p>
            <w:r>
              <w:rPr>
                <w:rFonts w:ascii="Calibri" w:cs="Calibri" w:eastAsia="Calibri" w:hAnsi="Calibri"/>
                <w:b w:val="false"/>
                <w:bCs w:val="false"/>
                <w:sz w:val="20"/>
                <w:szCs w:val="20"/>
              </w:rPr>
              <w:t xml:space="preserve">Data sensitivity: the system shall treat all ingested genotype files as sensitive personal data. Dataset B's own header explicitly states that a genotype profile is intrinsically personal and can in principle be re-identified even after removal of directly identifying header fields; the system's handling of such files shall be consistent with this documented sensitivity. Specific technical security controls are not specified here and require future validation against applicable data-protection and course/thesis data-use requirements.</w:t>
            </w:r>
          </w:p>
        </w:tc>
      </w:tr>
      <w:tr>
        <w:tc>
          <w:tcPr>
            <w:tcW w:type="dxa" w:w="1200"/>
            <w:tcMar>
              <w:top w:type="dxa" w:w="80"/>
              <w:left w:type="dxa" w:w="100"/>
              <w:bottom w:type="dxa" w:w="80"/>
              <w:right w:type="dxa" w:w="100"/>
            </w:tcMar>
          </w:tcPr>
          <w:p>
            <w:r>
              <w:rPr>
                <w:rFonts w:ascii="Calibri" w:cs="Calibri" w:eastAsia="Calibri" w:hAnsi="Calibri"/>
                <w:b/>
                <w:bCs/>
                <w:sz w:val="20"/>
                <w:szCs w:val="20"/>
              </w:rPr>
              <w:t xml:space="preserve">NFR-5</w:t>
            </w:r>
          </w:p>
        </w:tc>
        <w:tc>
          <w:tcPr>
            <w:tcW w:type="dxa" w:w="8000"/>
            <w:tcMar>
              <w:top w:type="dxa" w:w="80"/>
              <w:left w:type="dxa" w:w="100"/>
              <w:bottom w:type="dxa" w:w="80"/>
              <w:right w:type="dxa" w:w="100"/>
            </w:tcMar>
          </w:tcPr>
          <w:p>
            <w:r>
              <w:rPr>
                <w:rFonts w:ascii="Calibri" w:cs="Calibri" w:eastAsia="Calibri" w:hAnsi="Calibri"/>
                <w:b w:val="false"/>
                <w:bCs w:val="false"/>
                <w:sz w:val="20"/>
                <w:szCs w:val="20"/>
              </w:rPr>
              <w:t xml:space="preserve">Neutrality across input layout: the system shall not hard-code assumptions that hold for only one of the two evidenced file layouts (e.g. a fixed 5-column or 4-column schema, a fixed single missing-value token, or a fixed chromosome-label vocabulary), since Dataset A and Dataset B were observed to differ in column count, header placement, missing-value tokens, and chromosome-label vocabulary.</w:t>
            </w:r>
          </w:p>
        </w:tc>
      </w:tr>
      <w:tr>
        <w:tc>
          <w:tcPr>
            <w:tcW w:type="dxa" w:w="1200"/>
            <w:tcMar>
              <w:top w:type="dxa" w:w="80"/>
              <w:left w:type="dxa" w:w="100"/>
              <w:bottom w:type="dxa" w:w="80"/>
              <w:right w:type="dxa" w:w="100"/>
            </w:tcMar>
          </w:tcPr>
          <w:p>
            <w:r>
              <w:rPr>
                <w:rFonts w:ascii="Calibri" w:cs="Calibri" w:eastAsia="Calibri" w:hAnsi="Calibri"/>
                <w:b/>
                <w:bCs/>
                <w:sz w:val="20"/>
                <w:szCs w:val="20"/>
              </w:rPr>
              <w:t xml:space="preserve">NFR-6</w:t>
            </w:r>
          </w:p>
        </w:tc>
        <w:tc>
          <w:tcPr>
            <w:tcW w:type="dxa" w:w="8000"/>
            <w:tcMar>
              <w:top w:type="dxa" w:w="80"/>
              <w:left w:type="dxa" w:w="100"/>
              <w:bottom w:type="dxa" w:w="80"/>
              <w:right w:type="dxa" w:w="100"/>
            </w:tcMar>
          </w:tcPr>
          <w:p>
            <w:r>
              <w:rPr>
                <w:rFonts w:ascii="Calibri" w:cs="Calibri" w:eastAsia="Calibri" w:hAnsi="Calibri"/>
                <w:b w:val="false"/>
                <w:bCs w:val="false"/>
                <w:sz w:val="20"/>
                <w:szCs w:val="20"/>
              </w:rPr>
              <w:t xml:space="preserve">Traceability: every structural or data-quality finding produced by the system shall be traceable to a specific, named check (equivalent to a notebook section), so that findings can be cited individually in downstream documentation, as this SRS itself cites individual notebook sections.</w:t>
            </w:r>
          </w:p>
        </w:tc>
      </w:tr>
    </w:tbl>
    <w:p>
      <w:pPr>
        <w:pStyle w:val="Heading1"/>
        <w:spacing w:after="160" w:before="360"/>
      </w:pPr>
      <w:r>
        <w:t xml:space="preserve">6. Input Data Specifications</w:t>
      </w:r>
    </w:p>
    <w:p>
      <w:pPr>
        <w:spacing w:after="160"/>
        <w:jc w:val="both"/>
      </w:pPr>
      <w:r>
        <w:rPr>
          <w:rFonts w:ascii="Calibri" w:cs="Calibri" w:eastAsia="Calibri" w:hAnsi="Calibri"/>
          <w:sz w:val="22"/>
          <w:szCs w:val="22"/>
        </w:rPr>
        <w:t xml:space="preserve">The following specifications describe the two files actually inspected in the notebook. They are recorded as the empirical basis for input handling; they are not asserted to be exhaustive of every file a future version of the system might need to accept.</w:t>
      </w:r>
    </w:p>
    <w:p>
      <w:pPr>
        <w:pStyle w:val="Heading2"/>
        <w:spacing w:after="120" w:before="240"/>
      </w:pPr>
      <w:r>
        <w:t xml:space="preserve">6.1 File-Level Characteristics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3000"/>
      </w:tblGrid>
      <w:tr>
        <w:tc>
          <w:tcPr>
            <w:tcW w:type="dxa" w:w="3200"/>
            <w:shd w:fill="1F3864" w:color="auto" w:val="clear"/>
            <w:tcMar>
              <w:top w:type="dxa" w:w="80"/>
              <w:left w:type="dxa" w:w="100"/>
              <w:bottom w:type="dxa" w:w="80"/>
              <w:right w:type="dxa" w:w="100"/>
            </w:tcMar>
          </w:tcPr>
          <w:p>
            <w:r>
              <w:rPr>
                <w:rFonts w:ascii="Calibri" w:cs="Calibri" w:eastAsia="Calibri" w:hAnsi="Calibri"/>
                <w:b/>
                <w:bCs/>
                <w:color w:val="FFFFFF"/>
                <w:sz w:val="20"/>
                <w:szCs w:val="20"/>
              </w:rPr>
              <w:t xml:space="preserve">Characteristic</w:t>
            </w:r>
          </w:p>
        </w:tc>
        <w:tc>
          <w:tcPr>
            <w:tcW w:type="dxa" w:w="3000"/>
            <w:shd w:fill="1F3864" w:color="auto" w:val="clear"/>
            <w:tcMar>
              <w:top w:type="dxa" w:w="80"/>
              <w:left w:type="dxa" w:w="100"/>
              <w:bottom w:type="dxa" w:w="80"/>
              <w:right w:type="dxa" w:w="100"/>
            </w:tcMar>
          </w:tcPr>
          <w:p>
            <w:r>
              <w:rPr>
                <w:rFonts w:ascii="Calibri" w:cs="Calibri" w:eastAsia="Calibri" w:hAnsi="Calibri"/>
                <w:b/>
                <w:bCs/>
                <w:color w:val="FFFFFF"/>
                <w:sz w:val="20"/>
                <w:szCs w:val="20"/>
              </w:rPr>
              <w:t xml:space="preserve">Dataset A (AncestryDNA)</w:t>
            </w:r>
          </w:p>
        </w:tc>
        <w:tc>
          <w:tcPr>
            <w:tcW w:type="dxa" w:w="3000"/>
            <w:shd w:fill="1F3864" w:color="auto" w:val="clear"/>
            <w:tcMar>
              <w:top w:type="dxa" w:w="80"/>
              <w:left w:type="dxa" w:w="100"/>
              <w:bottom w:type="dxa" w:w="80"/>
              <w:right w:type="dxa" w:w="100"/>
            </w:tcMar>
          </w:tcPr>
          <w:p>
            <w:r>
              <w:rPr>
                <w:rFonts w:ascii="Calibri" w:cs="Calibri" w:eastAsia="Calibri" w:hAnsi="Calibri"/>
                <w:b/>
                <w:bCs/>
                <w:color w:val="FFFFFF"/>
                <w:sz w:val="20"/>
                <w:szCs w:val="20"/>
              </w:rPr>
              <w:t xml:space="preserve">Dataset B (23andMe, Build 37)</w:t>
            </w:r>
          </w:p>
        </w:tc>
      </w:tr>
      <w:tr>
        <w:tc>
          <w:tcPr>
            <w:tcW w:type="dxa" w:w="3200"/>
            <w:tcMar>
              <w:top w:type="dxa" w:w="80"/>
              <w:left w:type="dxa" w:w="100"/>
              <w:bottom w:type="dxa" w:w="80"/>
              <w:right w:type="dxa" w:w="100"/>
            </w:tcMar>
          </w:tcPr>
          <w:p>
            <w:r>
              <w:rPr>
                <w:rFonts w:ascii="Calibri" w:cs="Calibri" w:eastAsia="Calibri" w:hAnsi="Calibri"/>
                <w:b w:val="false"/>
                <w:bCs w:val="false"/>
                <w:sz w:val="20"/>
                <w:szCs w:val="20"/>
              </w:rPr>
              <w:t xml:space="preserve">Source file</w:t>
            </w:r>
          </w:p>
        </w:tc>
        <w:tc>
          <w:tcPr>
            <w:tcW w:type="dxa" w:w="3000"/>
            <w:tcMar>
              <w:top w:type="dxa" w:w="80"/>
              <w:left w:type="dxa" w:w="100"/>
              <w:bottom w:type="dxa" w:w="80"/>
              <w:right w:type="dxa" w:w="100"/>
            </w:tcMar>
          </w:tcPr>
          <w:p>
            <w:r>
              <w:rPr>
                <w:rFonts w:ascii="Calibri" w:cs="Calibri" w:eastAsia="Calibri" w:hAnsi="Calibri"/>
                <w:b w:val="false"/>
                <w:bCs w:val="false"/>
                <w:sz w:val="20"/>
                <w:szCs w:val="20"/>
              </w:rPr>
              <w:t xml:space="preserve">AncestryDNA.txt</w:t>
            </w:r>
          </w:p>
        </w:tc>
        <w:tc>
          <w:tcPr>
            <w:tcW w:type="dxa" w:w="3000"/>
            <w:tcMar>
              <w:top w:type="dxa" w:w="80"/>
              <w:left w:type="dxa" w:w="100"/>
              <w:bottom w:type="dxa" w:w="80"/>
              <w:right w:type="dxa" w:w="100"/>
            </w:tcMar>
          </w:tcPr>
          <w:p>
            <w:r>
              <w:rPr>
                <w:rFonts w:ascii="Calibri" w:cs="Calibri" w:eastAsia="Calibri" w:hAnsi="Calibri"/>
                <w:b w:val="false"/>
                <w:bCs w:val="false"/>
                <w:sz w:val="20"/>
                <w:szCs w:val="20"/>
              </w:rPr>
              <w:t xml:space="preserve">anonymous_genome_v5_build37.txt</w:t>
            </w:r>
          </w:p>
        </w:tc>
      </w:tr>
      <w:tr>
        <w:tc>
          <w:tcPr>
            <w:tcW w:type="dxa" w:w="3200"/>
            <w:tcMar>
              <w:top w:type="dxa" w:w="80"/>
              <w:left w:type="dxa" w:w="100"/>
              <w:bottom w:type="dxa" w:w="80"/>
              <w:right w:type="dxa" w:w="100"/>
            </w:tcMar>
          </w:tcPr>
          <w:p>
            <w:r>
              <w:rPr>
                <w:rFonts w:ascii="Calibri" w:cs="Calibri" w:eastAsia="Calibri" w:hAnsi="Calibri"/>
                <w:b w:val="false"/>
                <w:bCs w:val="false"/>
                <w:sz w:val="20"/>
                <w:szCs w:val="20"/>
              </w:rPr>
              <w:t xml:space="preserve">File size</w:t>
            </w:r>
          </w:p>
        </w:tc>
        <w:tc>
          <w:tcPr>
            <w:tcW w:type="dxa" w:w="3000"/>
            <w:tcMar>
              <w:top w:type="dxa" w:w="80"/>
              <w:left w:type="dxa" w:w="100"/>
              <w:bottom w:type="dxa" w:w="80"/>
              <w:right w:type="dxa" w:w="100"/>
            </w:tcMar>
          </w:tcPr>
          <w:p>
            <w:r>
              <w:rPr>
                <w:rFonts w:ascii="Calibri" w:cs="Calibri" w:eastAsia="Calibri" w:hAnsi="Calibri"/>
                <w:b w:val="false"/>
                <w:bCs w:val="false"/>
                <w:sz w:val="20"/>
                <w:szCs w:val="20"/>
              </w:rPr>
              <w:t xml:space="preserve">17.47 MB (18,320,431 bytes)</w:t>
            </w:r>
          </w:p>
        </w:tc>
        <w:tc>
          <w:tcPr>
            <w:tcW w:type="dxa" w:w="3000"/>
            <w:tcMar>
              <w:top w:type="dxa" w:w="80"/>
              <w:left w:type="dxa" w:w="100"/>
              <w:bottom w:type="dxa" w:w="80"/>
              <w:right w:type="dxa" w:w="100"/>
            </w:tcMar>
          </w:tcPr>
          <w:p>
            <w:r>
              <w:rPr>
                <w:rFonts w:ascii="Calibri" w:cs="Calibri" w:eastAsia="Calibri" w:hAnsi="Calibri"/>
                <w:b w:val="false"/>
                <w:bCs w:val="false"/>
                <w:sz w:val="20"/>
                <w:szCs w:val="20"/>
              </w:rPr>
              <w:t xml:space="preserve">15.26 MB (16,002,658 bytes)</w:t>
            </w:r>
          </w:p>
        </w:tc>
      </w:tr>
      <w:tr>
        <w:tc>
          <w:tcPr>
            <w:tcW w:type="dxa" w:w="3200"/>
            <w:tcMar>
              <w:top w:type="dxa" w:w="80"/>
              <w:left w:type="dxa" w:w="100"/>
              <w:bottom w:type="dxa" w:w="80"/>
              <w:right w:type="dxa" w:w="100"/>
            </w:tcMar>
          </w:tcPr>
          <w:p>
            <w:r>
              <w:rPr>
                <w:rFonts w:ascii="Calibri" w:cs="Calibri" w:eastAsia="Calibri" w:hAnsi="Calibri"/>
                <w:b w:val="false"/>
                <w:bCs w:val="false"/>
                <w:sz w:val="20"/>
                <w:szCs w:val="20"/>
              </w:rPr>
              <w:t xml:space="preserve">Raw line count (incl. comments)</w:t>
            </w:r>
          </w:p>
        </w:tc>
        <w:tc>
          <w:tcPr>
            <w:tcW w:type="dxa" w:w="3000"/>
            <w:tcMar>
              <w:top w:type="dxa" w:w="80"/>
              <w:left w:type="dxa" w:w="100"/>
              <w:bottom w:type="dxa" w:w="80"/>
              <w:right w:type="dxa" w:w="100"/>
            </w:tcMar>
          </w:tcPr>
          <w:p>
            <w:r>
              <w:rPr>
                <w:rFonts w:ascii="Calibri" w:cs="Calibri" w:eastAsia="Calibri" w:hAnsi="Calibri"/>
                <w:b w:val="false"/>
                <w:bCs w:val="false"/>
                <w:sz w:val="20"/>
                <w:szCs w:val="20"/>
              </w:rPr>
              <w:t xml:space="preserve">677,455</w:t>
            </w:r>
          </w:p>
        </w:tc>
        <w:tc>
          <w:tcPr>
            <w:tcW w:type="dxa" w:w="3000"/>
            <w:tcMar>
              <w:top w:type="dxa" w:w="80"/>
              <w:left w:type="dxa" w:w="100"/>
              <w:bottom w:type="dxa" w:w="80"/>
              <w:right w:type="dxa" w:w="100"/>
            </w:tcMar>
          </w:tcPr>
          <w:p>
            <w:r>
              <w:rPr>
                <w:rFonts w:ascii="Calibri" w:cs="Calibri" w:eastAsia="Calibri" w:hAnsi="Calibri"/>
                <w:b w:val="false"/>
                <w:bCs w:val="false"/>
                <w:sz w:val="20"/>
                <w:szCs w:val="20"/>
              </w:rPr>
              <w:t xml:space="preserve">631,477</w:t>
            </w:r>
          </w:p>
        </w:tc>
      </w:tr>
      <w:tr>
        <w:tc>
          <w:tcPr>
            <w:tcW w:type="dxa" w:w="3200"/>
            <w:tcMar>
              <w:top w:type="dxa" w:w="80"/>
              <w:left w:type="dxa" w:w="100"/>
              <w:bottom w:type="dxa" w:w="80"/>
              <w:right w:type="dxa" w:w="100"/>
            </w:tcMar>
          </w:tcPr>
          <w:p>
            <w:r>
              <w:rPr>
                <w:rFonts w:ascii="Calibri" w:cs="Calibri" w:eastAsia="Calibri" w:hAnsi="Calibri"/>
                <w:b w:val="false"/>
                <w:bCs w:val="false"/>
                <w:sz w:val="20"/>
                <w:szCs w:val="20"/>
              </w:rPr>
              <w:t xml:space="preserve">Comment/metadata lines</w:t>
            </w:r>
          </w:p>
        </w:tc>
        <w:tc>
          <w:tcPr>
            <w:tcW w:type="dxa" w:w="3000"/>
            <w:tcMar>
              <w:top w:type="dxa" w:w="80"/>
              <w:left w:type="dxa" w:w="100"/>
              <w:bottom w:type="dxa" w:w="80"/>
              <w:right w:type="dxa" w:w="100"/>
            </w:tcMar>
          </w:tcPr>
          <w:p>
            <w:r>
              <w:rPr>
                <w:rFonts w:ascii="Calibri" w:cs="Calibri" w:eastAsia="Calibri" w:hAnsi="Calibri"/>
                <w:b w:val="false"/>
                <w:bCs w:val="false"/>
                <w:sz w:val="20"/>
                <w:szCs w:val="20"/>
              </w:rPr>
              <w:t xml:space="preserve">18</w:t>
            </w:r>
          </w:p>
        </w:tc>
        <w:tc>
          <w:tcPr>
            <w:tcW w:type="dxa" w:w="3000"/>
            <w:tcMar>
              <w:top w:type="dxa" w:w="80"/>
              <w:left w:type="dxa" w:w="100"/>
              <w:bottom w:type="dxa" w:w="80"/>
              <w:right w:type="dxa" w:w="100"/>
            </w:tcMar>
          </w:tcPr>
          <w:p>
            <w:r>
              <w:rPr>
                <w:rFonts w:ascii="Calibri" w:cs="Calibri" w:eastAsia="Calibri" w:hAnsi="Calibri"/>
                <w:b w:val="false"/>
                <w:bCs w:val="false"/>
                <w:sz w:val="20"/>
                <w:szCs w:val="20"/>
              </w:rPr>
              <w:t xml:space="preserve">22</w:t>
            </w:r>
          </w:p>
        </w:tc>
      </w:tr>
      <w:tr>
        <w:tc>
          <w:tcPr>
            <w:tcW w:type="dxa" w:w="3200"/>
            <w:tcMar>
              <w:top w:type="dxa" w:w="80"/>
              <w:left w:type="dxa" w:w="100"/>
              <w:bottom w:type="dxa" w:w="80"/>
              <w:right w:type="dxa" w:w="100"/>
            </w:tcMar>
          </w:tcPr>
          <w:p>
            <w:r>
              <w:rPr>
                <w:rFonts w:ascii="Calibri" w:cs="Calibri" w:eastAsia="Calibri" w:hAnsi="Calibri"/>
                <w:b w:val="false"/>
                <w:bCs w:val="false"/>
                <w:sz w:val="20"/>
                <w:szCs w:val="20"/>
              </w:rPr>
              <w:t xml:space="preserve">Data lines (excl. comments)</w:t>
            </w:r>
          </w:p>
        </w:tc>
        <w:tc>
          <w:tcPr>
            <w:tcW w:type="dxa" w:w="3000"/>
            <w:tcMar>
              <w:top w:type="dxa" w:w="80"/>
              <w:left w:type="dxa" w:w="100"/>
              <w:bottom w:type="dxa" w:w="80"/>
              <w:right w:type="dxa" w:w="100"/>
            </w:tcMar>
          </w:tcPr>
          <w:p>
            <w:r>
              <w:rPr>
                <w:rFonts w:ascii="Calibri" w:cs="Calibri" w:eastAsia="Calibri" w:hAnsi="Calibri"/>
                <w:b w:val="false"/>
                <w:bCs w:val="false"/>
                <w:sz w:val="20"/>
                <w:szCs w:val="20"/>
              </w:rPr>
              <w:t xml:space="preserve">677,437</w:t>
            </w:r>
          </w:p>
        </w:tc>
        <w:tc>
          <w:tcPr>
            <w:tcW w:type="dxa" w:w="3000"/>
            <w:tcMar>
              <w:top w:type="dxa" w:w="80"/>
              <w:left w:type="dxa" w:w="100"/>
              <w:bottom w:type="dxa" w:w="80"/>
              <w:right w:type="dxa" w:w="100"/>
            </w:tcMar>
          </w:tcPr>
          <w:p>
            <w:r>
              <w:rPr>
                <w:rFonts w:ascii="Calibri" w:cs="Calibri" w:eastAsia="Calibri" w:hAnsi="Calibri"/>
                <w:b w:val="false"/>
                <w:bCs w:val="false"/>
                <w:sz w:val="20"/>
                <w:szCs w:val="20"/>
              </w:rPr>
              <w:t xml:space="preserve">631,455</w:t>
            </w:r>
          </w:p>
        </w:tc>
      </w:tr>
      <w:tr>
        <w:tc>
          <w:tcPr>
            <w:tcW w:type="dxa" w:w="3200"/>
            <w:tcMar>
              <w:top w:type="dxa" w:w="80"/>
              <w:left w:type="dxa" w:w="100"/>
              <w:bottom w:type="dxa" w:w="80"/>
              <w:right w:type="dxa" w:w="100"/>
            </w:tcMar>
          </w:tcPr>
          <w:p>
            <w:r>
              <w:rPr>
                <w:rFonts w:ascii="Calibri" w:cs="Calibri" w:eastAsia="Calibri" w:hAnsi="Calibri"/>
                <w:b w:val="false"/>
                <w:bCs w:val="false"/>
                <w:sz w:val="20"/>
                <w:szCs w:val="20"/>
              </w:rPr>
              <w:t xml:space="preserve">Detected delimiter</w:t>
            </w:r>
          </w:p>
        </w:tc>
        <w:tc>
          <w:tcPr>
            <w:tcW w:type="dxa" w:w="3000"/>
            <w:tcMar>
              <w:top w:type="dxa" w:w="80"/>
              <w:left w:type="dxa" w:w="100"/>
              <w:bottom w:type="dxa" w:w="80"/>
              <w:right w:type="dxa" w:w="100"/>
            </w:tcMar>
          </w:tcPr>
          <w:p>
            <w:r>
              <w:rPr>
                <w:rFonts w:ascii="Calibri" w:cs="Calibri" w:eastAsia="Calibri" w:hAnsi="Calibri"/>
                <w:b w:val="false"/>
                <w:bCs w:val="false"/>
                <w:sz w:val="20"/>
                <w:szCs w:val="20"/>
              </w:rPr>
              <w:t xml:space="preserve">Tab</w:t>
            </w:r>
          </w:p>
        </w:tc>
        <w:tc>
          <w:tcPr>
            <w:tcW w:type="dxa" w:w="3000"/>
            <w:tcMar>
              <w:top w:type="dxa" w:w="80"/>
              <w:left w:type="dxa" w:w="100"/>
              <w:bottom w:type="dxa" w:w="80"/>
              <w:right w:type="dxa" w:w="100"/>
            </w:tcMar>
          </w:tcPr>
          <w:p>
            <w:r>
              <w:rPr>
                <w:rFonts w:ascii="Calibri" w:cs="Calibri" w:eastAsia="Calibri" w:hAnsi="Calibri"/>
                <w:b w:val="false"/>
                <w:bCs w:val="false"/>
                <w:sz w:val="20"/>
                <w:szCs w:val="20"/>
              </w:rPr>
              <w:t xml:space="preserve">Tab</w:t>
            </w:r>
          </w:p>
        </w:tc>
      </w:tr>
      <w:tr>
        <w:tc>
          <w:tcPr>
            <w:tcW w:type="dxa" w:w="3200"/>
            <w:tcMar>
              <w:top w:type="dxa" w:w="80"/>
              <w:left w:type="dxa" w:w="100"/>
              <w:bottom w:type="dxa" w:w="80"/>
              <w:right w:type="dxa" w:w="100"/>
            </w:tcMar>
          </w:tcPr>
          <w:p>
            <w:r>
              <w:rPr>
                <w:rFonts w:ascii="Calibri" w:cs="Calibri" w:eastAsia="Calibri" w:hAnsi="Calibri"/>
                <w:b w:val="false"/>
                <w:bCs w:val="false"/>
                <w:sz w:val="20"/>
                <w:szCs w:val="20"/>
              </w:rPr>
              <w:t xml:space="preserve">Header row form</w:t>
            </w:r>
          </w:p>
        </w:tc>
        <w:tc>
          <w:tcPr>
            <w:tcW w:type="dxa" w:w="3000"/>
            <w:tcMar>
              <w:top w:type="dxa" w:w="80"/>
              <w:left w:type="dxa" w:w="100"/>
              <w:bottom w:type="dxa" w:w="80"/>
              <w:right w:type="dxa" w:w="100"/>
            </w:tcMar>
          </w:tcPr>
          <w:p>
            <w:r>
              <w:rPr>
                <w:rFonts w:ascii="Calibri" w:cs="Calibri" w:eastAsia="Calibri" w:hAnsi="Calibri"/>
                <w:b w:val="false"/>
                <w:bCs w:val="false"/>
                <w:sz w:val="20"/>
                <w:szCs w:val="20"/>
              </w:rPr>
              <w:t xml:space="preserve">Uncommented header row present</w:t>
            </w:r>
          </w:p>
        </w:tc>
        <w:tc>
          <w:tcPr>
            <w:tcW w:type="dxa" w:w="3000"/>
            <w:tcMar>
              <w:top w:type="dxa" w:w="80"/>
              <w:left w:type="dxa" w:w="100"/>
              <w:bottom w:type="dxa" w:w="80"/>
              <w:right w:type="dxa" w:w="100"/>
            </w:tcMar>
          </w:tcPr>
          <w:p>
            <w:r>
              <w:rPr>
                <w:rFonts w:ascii="Calibri" w:cs="Calibri" w:eastAsia="Calibri" w:hAnsi="Calibri"/>
                <w:b w:val="false"/>
                <w:bCs w:val="false"/>
                <w:sz w:val="20"/>
                <w:szCs w:val="20"/>
              </w:rPr>
              <w:t xml:space="preserve">Header present only as a commented line; no uncommented header row</w:t>
            </w:r>
          </w:p>
        </w:tc>
      </w:tr>
      <w:tr>
        <w:tc>
          <w:tcPr>
            <w:tcW w:type="dxa" w:w="3200"/>
            <w:tcMar>
              <w:top w:type="dxa" w:w="80"/>
              <w:left w:type="dxa" w:w="100"/>
              <w:bottom w:type="dxa" w:w="80"/>
              <w:right w:type="dxa" w:w="100"/>
            </w:tcMar>
          </w:tcPr>
          <w:p>
            <w:r>
              <w:rPr>
                <w:rFonts w:ascii="Calibri" w:cs="Calibri" w:eastAsia="Calibri" w:hAnsi="Calibri"/>
                <w:b w:val="false"/>
                <w:bCs w:val="false"/>
                <w:sz w:val="20"/>
                <w:szCs w:val="20"/>
              </w:rPr>
              <w:t xml:space="preserve">Encoding decodability</w:t>
            </w:r>
          </w:p>
        </w:tc>
        <w:tc>
          <w:tcPr>
            <w:tcW w:type="dxa" w:w="3000"/>
            <w:tcMar>
              <w:top w:type="dxa" w:w="80"/>
              <w:left w:type="dxa" w:w="100"/>
              <w:bottom w:type="dxa" w:w="80"/>
              <w:right w:type="dxa" w:w="100"/>
            </w:tcMar>
          </w:tcPr>
          <w:p>
            <w:r>
              <w:rPr>
                <w:rFonts w:ascii="Calibri" w:cs="Calibri" w:eastAsia="Calibri" w:hAnsi="Calibri"/>
                <w:b w:val="false"/>
                <w:bCs w:val="false"/>
                <w:sz w:val="20"/>
                <w:szCs w:val="20"/>
              </w:rPr>
              <w:t xml:space="preserve">ASCII, UTF-8, UTF-8-sig, Latin-1 all decodable</w:t>
            </w:r>
          </w:p>
        </w:tc>
        <w:tc>
          <w:tcPr>
            <w:tcW w:type="dxa" w:w="3000"/>
            <w:tcMar>
              <w:top w:type="dxa" w:w="80"/>
              <w:left w:type="dxa" w:w="100"/>
              <w:bottom w:type="dxa" w:w="80"/>
              <w:right w:type="dxa" w:w="100"/>
            </w:tcMar>
          </w:tcPr>
          <w:p>
            <w:r>
              <w:rPr>
                <w:rFonts w:ascii="Calibri" w:cs="Calibri" w:eastAsia="Calibri" w:hAnsi="Calibri"/>
                <w:b w:val="false"/>
                <w:bCs w:val="false"/>
                <w:sz w:val="20"/>
                <w:szCs w:val="20"/>
              </w:rPr>
              <w:t xml:space="preserve">UTF-8, UTF-8-sig, Latin-1 decodable; not pure ASCII-decodable</w:t>
            </w:r>
          </w:p>
        </w:tc>
      </w:tr>
      <w:tr>
        <w:tc>
          <w:tcPr>
            <w:tcW w:type="dxa" w:w="3200"/>
            <w:tcMar>
              <w:top w:type="dxa" w:w="80"/>
              <w:left w:type="dxa" w:w="100"/>
              <w:bottom w:type="dxa" w:w="80"/>
              <w:right w:type="dxa" w:w="100"/>
            </w:tcMar>
          </w:tcPr>
          <w:p>
            <w:r>
              <w:rPr>
                <w:rFonts w:ascii="Calibri" w:cs="Calibri" w:eastAsia="Calibri" w:hAnsi="Calibri"/>
                <w:b w:val="false"/>
                <w:bCs w:val="false"/>
                <w:sz w:val="20"/>
                <w:szCs w:val="20"/>
              </w:rPr>
              <w:t xml:space="preserve">Byte-order mark</w:t>
            </w:r>
          </w:p>
        </w:tc>
        <w:tc>
          <w:tcPr>
            <w:tcW w:type="dxa" w:w="3000"/>
            <w:tcMar>
              <w:top w:type="dxa" w:w="80"/>
              <w:left w:type="dxa" w:w="100"/>
              <w:bottom w:type="dxa" w:w="80"/>
              <w:right w:type="dxa" w:w="100"/>
            </w:tcMar>
          </w:tcPr>
          <w:p>
            <w:r>
              <w:rPr>
                <w:rFonts w:ascii="Calibri" w:cs="Calibri" w:eastAsia="Calibri" w:hAnsi="Calibri"/>
                <w:b w:val="false"/>
                <w:bCs w:val="false"/>
                <w:sz w:val="20"/>
                <w:szCs w:val="20"/>
              </w:rPr>
              <w:t xml:space="preserve">None detected</w:t>
            </w:r>
          </w:p>
        </w:tc>
        <w:tc>
          <w:tcPr>
            <w:tcW w:type="dxa" w:w="3000"/>
            <w:tcMar>
              <w:top w:type="dxa" w:w="80"/>
              <w:left w:type="dxa" w:w="100"/>
              <w:bottom w:type="dxa" w:w="80"/>
              <w:right w:type="dxa" w:w="100"/>
            </w:tcMar>
          </w:tcPr>
          <w:p>
            <w:r>
              <w:rPr>
                <w:rFonts w:ascii="Calibri" w:cs="Calibri" w:eastAsia="Calibri" w:hAnsi="Calibri"/>
                <w:b w:val="false"/>
                <w:bCs w:val="false"/>
                <w:sz w:val="20"/>
                <w:szCs w:val="20"/>
              </w:rPr>
              <w:t xml:space="preserve">None detected</w:t>
            </w:r>
          </w:p>
        </w:tc>
      </w:tr>
      <w:tr>
        <w:tc>
          <w:tcPr>
            <w:tcW w:type="dxa" w:w="3200"/>
            <w:tcMar>
              <w:top w:type="dxa" w:w="80"/>
              <w:left w:type="dxa" w:w="100"/>
              <w:bottom w:type="dxa" w:w="80"/>
              <w:right w:type="dxa" w:w="100"/>
            </w:tcMar>
          </w:tcPr>
          <w:p>
            <w:r>
              <w:rPr>
                <w:rFonts w:ascii="Calibri" w:cs="Calibri" w:eastAsia="Calibri" w:hAnsi="Calibri"/>
                <w:b w:val="false"/>
                <w:bCs w:val="false"/>
                <w:sz w:val="20"/>
                <w:szCs w:val="20"/>
              </w:rPr>
              <w:t xml:space="preserve">Reference build (as documented in file)</w:t>
            </w:r>
          </w:p>
        </w:tc>
        <w:tc>
          <w:tcPr>
            <w:tcW w:type="dxa" w:w="3000"/>
            <w:tcMar>
              <w:top w:type="dxa" w:w="80"/>
              <w:left w:type="dxa" w:w="100"/>
              <w:bottom w:type="dxa" w:w="80"/>
              <w:right w:type="dxa" w:w="100"/>
            </w:tcMar>
          </w:tcPr>
          <w:p>
            <w:r>
              <w:rPr>
                <w:rFonts w:ascii="Calibri" w:cs="Calibri" w:eastAsia="Calibri" w:hAnsi="Calibri"/>
                <w:b w:val="false"/>
                <w:bCs w:val="false"/>
                <w:sz w:val="20"/>
                <w:szCs w:val="20"/>
              </w:rPr>
              <w:t xml:space="preserve">Human reference build 37.1 coordinates</w:t>
            </w:r>
          </w:p>
        </w:tc>
        <w:tc>
          <w:tcPr>
            <w:tcW w:type="dxa" w:w="3000"/>
            <w:tcMar>
              <w:top w:type="dxa" w:w="80"/>
              <w:left w:type="dxa" w:w="100"/>
              <w:bottom w:type="dxa" w:w="80"/>
              <w:right w:type="dxa" w:w="100"/>
            </w:tcMar>
          </w:tcPr>
          <w:p>
            <w:r>
              <w:rPr>
                <w:rFonts w:ascii="Calibri" w:cs="Calibri" w:eastAsia="Calibri" w:hAnsi="Calibri"/>
                <w:b w:val="false"/>
                <w:bCs w:val="false"/>
                <w:sz w:val="20"/>
                <w:szCs w:val="20"/>
              </w:rPr>
              <w:t xml:space="preserve">GRCh37 / hg19 (NCBI Annotation Release 104)</w:t>
            </w:r>
          </w:p>
        </w:tc>
      </w:tr>
      <w:tr>
        <w:tc>
          <w:tcPr>
            <w:tcW w:type="dxa" w:w="3200"/>
            <w:tcMar>
              <w:top w:type="dxa" w:w="80"/>
              <w:left w:type="dxa" w:w="100"/>
              <w:bottom w:type="dxa" w:w="80"/>
              <w:right w:type="dxa" w:w="100"/>
            </w:tcMar>
          </w:tcPr>
          <w:p>
            <w:r>
              <w:rPr>
                <w:rFonts w:ascii="Calibri" w:cs="Calibri" w:eastAsia="Calibri" w:hAnsi="Calibri"/>
                <w:b w:val="false"/>
                <w:bCs w:val="false"/>
                <w:sz w:val="20"/>
                <w:szCs w:val="20"/>
              </w:rPr>
              <w:t xml:space="preserve">Strand orientation (as documented in file)</w:t>
            </w:r>
          </w:p>
        </w:tc>
        <w:tc>
          <w:tcPr>
            <w:tcW w:type="dxa" w:w="3000"/>
            <w:tcMar>
              <w:top w:type="dxa" w:w="80"/>
              <w:left w:type="dxa" w:w="100"/>
              <w:bottom w:type="dxa" w:w="80"/>
              <w:right w:type="dxa" w:w="100"/>
            </w:tcMar>
          </w:tcPr>
          <w:p>
            <w:r>
              <w:rPr>
                <w:rFonts w:ascii="Calibri" w:cs="Calibri" w:eastAsia="Calibri" w:hAnsi="Calibri"/>
                <w:b w:val="false"/>
                <w:bCs w:val="false"/>
                <w:sz w:val="20"/>
                <w:szCs w:val="20"/>
              </w:rPr>
              <w:t xml:space="preserve">Forward (+) strand, per file header</w:t>
            </w:r>
          </w:p>
        </w:tc>
        <w:tc>
          <w:tcPr>
            <w:tcW w:type="dxa" w:w="3000"/>
            <w:tcMar>
              <w:top w:type="dxa" w:w="80"/>
              <w:left w:type="dxa" w:w="100"/>
              <w:bottom w:type="dxa" w:w="80"/>
              <w:right w:type="dxa" w:w="100"/>
            </w:tcMar>
          </w:tcPr>
          <w:p>
            <w:r>
              <w:rPr>
                <w:rFonts w:ascii="Calibri" w:cs="Calibri" w:eastAsia="Calibri" w:hAnsi="Calibri"/>
                <w:b w:val="false"/>
                <w:bCs w:val="false"/>
                <w:sz w:val="20"/>
                <w:szCs w:val="20"/>
              </w:rPr>
              <w:t xml:space="preserve">Plus (+) strand, per file header</w:t>
            </w:r>
          </w:p>
        </w:tc>
      </w:tr>
      <w:tr>
        <w:tc>
          <w:tcPr>
            <w:tcW w:type="dxa" w:w="3200"/>
            <w:tcMar>
              <w:top w:type="dxa" w:w="80"/>
              <w:left w:type="dxa" w:w="100"/>
              <w:bottom w:type="dxa" w:w="80"/>
              <w:right w:type="dxa" w:w="100"/>
            </w:tcMar>
          </w:tcPr>
          <w:p>
            <w:r>
              <w:rPr>
                <w:rFonts w:ascii="Calibri" w:cs="Calibri" w:eastAsia="Calibri" w:hAnsi="Calibri"/>
                <w:b w:val="false"/>
                <w:bCs w:val="false"/>
                <w:sz w:val="20"/>
                <w:szCs w:val="20"/>
              </w:rPr>
              <w:t xml:space="preserve">Array/chip version (as documented)</w:t>
            </w:r>
          </w:p>
        </w:tc>
        <w:tc>
          <w:tcPr>
            <w:tcW w:type="dxa" w:w="3000"/>
            <w:tcMar>
              <w:top w:type="dxa" w:w="80"/>
              <w:left w:type="dxa" w:w="100"/>
              <w:bottom w:type="dxa" w:w="80"/>
              <w:right w:type="dxa" w:w="100"/>
            </w:tcMar>
          </w:tcPr>
          <w:p>
            <w:r>
              <w:rPr>
                <w:rFonts w:ascii="Calibri" w:cs="Calibri" w:eastAsia="Calibri" w:hAnsi="Calibri"/>
                <w:b w:val="false"/>
                <w:bCs w:val="false"/>
                <w:sz w:val="20"/>
                <w:szCs w:val="20"/>
              </w:rPr>
              <w:t xml:space="preserve">AncestryDNA array version V2.0; converter V1.0</w:t>
            </w:r>
          </w:p>
        </w:tc>
        <w:tc>
          <w:tcPr>
            <w:tcW w:type="dxa" w:w="3000"/>
            <w:tcMar>
              <w:top w:type="dxa" w:w="80"/>
              <w:left w:type="dxa" w:w="100"/>
              <w:bottom w:type="dxa" w:w="80"/>
              <w:right w:type="dxa" w:w="100"/>
            </w:tcMar>
          </w:tcPr>
          <w:p>
            <w:r>
              <w:rPr>
                <w:rFonts w:ascii="Calibri" w:cs="Calibri" w:eastAsia="Calibri" w:hAnsi="Calibri"/>
                <w:b w:val="false"/>
                <w:bCs w:val="false"/>
                <w:sz w:val="20"/>
                <w:szCs w:val="20"/>
              </w:rPr>
              <w:t xml:space="preserve">23andMe v5 chip</w:t>
            </w:r>
          </w:p>
        </w:tc>
      </w:tr>
    </w:tbl>
    <w:p>
      <w:pPr>
        <w:spacing w:after="200"/>
      </w:pPr>
    </w:p>
    <w:p>
      <w:pPr>
        <w:pStyle w:val="Heading2"/>
        <w:spacing w:after="120" w:before="240"/>
      </w:pPr>
      <w:r>
        <w:t xml:space="preserve">6.2 Column Layout (as observed)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600"/>
        <w:gridCol w:w="6000"/>
        <w:gridCol w:w="1600"/>
      </w:tblGrid>
      <w:tr>
        <w:tc>
          <w:tcPr>
            <w:tcW w:type="dxa" w:w="1600"/>
            <w:shd w:fill="1F3864" w:color="auto" w:val="clear"/>
            <w:tcMar>
              <w:top w:type="dxa" w:w="80"/>
              <w:left w:type="dxa" w:w="100"/>
              <w:bottom w:type="dxa" w:w="80"/>
              <w:right w:type="dxa" w:w="100"/>
            </w:tcMar>
          </w:tcPr>
          <w:p>
            <w:r>
              <w:rPr>
                <w:rFonts w:ascii="Calibri" w:cs="Calibri" w:eastAsia="Calibri" w:hAnsi="Calibri"/>
                <w:b/>
                <w:bCs/>
                <w:color w:val="FFFFFF"/>
                <w:sz w:val="20"/>
                <w:szCs w:val="20"/>
              </w:rPr>
              <w:t xml:space="preserve">Dataset</w:t>
            </w:r>
          </w:p>
        </w:tc>
        <w:tc>
          <w:tcPr>
            <w:tcW w:type="dxa" w:w="6000"/>
            <w:shd w:fill="1F3864" w:color="auto" w:val="clear"/>
            <w:tcMar>
              <w:top w:type="dxa" w:w="80"/>
              <w:left w:type="dxa" w:w="100"/>
              <w:bottom w:type="dxa" w:w="80"/>
              <w:right w:type="dxa" w:w="100"/>
            </w:tcMar>
          </w:tcPr>
          <w:p>
            <w:r>
              <w:rPr>
                <w:rFonts w:ascii="Calibri" w:cs="Calibri" w:eastAsia="Calibri" w:hAnsi="Calibri"/>
                <w:b/>
                <w:bCs/>
                <w:color w:val="FFFFFF"/>
                <w:sz w:val="20"/>
                <w:szCs w:val="20"/>
              </w:rPr>
              <w:t xml:space="preserve">Columns (in order)</w:t>
            </w:r>
          </w:p>
        </w:tc>
        <w:tc>
          <w:tcPr>
            <w:tcW w:type="dxa" w:w="1600"/>
            <w:shd w:fill="1F3864" w:color="auto" w:val="clear"/>
            <w:tcMar>
              <w:top w:type="dxa" w:w="80"/>
              <w:left w:type="dxa" w:w="100"/>
              <w:bottom w:type="dxa" w:w="80"/>
              <w:right w:type="dxa" w:w="100"/>
            </w:tcMar>
          </w:tcPr>
          <w:p>
            <w:r>
              <w:rPr>
                <w:rFonts w:ascii="Calibri" w:cs="Calibri" w:eastAsia="Calibri" w:hAnsi="Calibri"/>
                <w:b/>
                <w:bCs/>
                <w:color w:val="FFFFFF"/>
                <w:sz w:val="20"/>
                <w:szCs w:val="20"/>
              </w:rPr>
              <w:t xml:space="preserve">Column count</w:t>
            </w:r>
          </w:p>
        </w:tc>
      </w:tr>
      <w:tr>
        <w:tc>
          <w:tcPr>
            <w:tcW w:type="dxa" w:w="1600"/>
            <w:tcMar>
              <w:top w:type="dxa" w:w="80"/>
              <w:left w:type="dxa" w:w="100"/>
              <w:bottom w:type="dxa" w:w="80"/>
              <w:right w:type="dxa" w:w="100"/>
            </w:tcMar>
          </w:tcPr>
          <w:p>
            <w:r>
              <w:rPr>
                <w:rFonts w:ascii="Calibri" w:cs="Calibri" w:eastAsia="Calibri" w:hAnsi="Calibri"/>
                <w:b w:val="false"/>
                <w:bCs w:val="false"/>
                <w:sz w:val="20"/>
                <w:szCs w:val="20"/>
              </w:rPr>
              <w:t xml:space="preserve">A</w:t>
            </w:r>
          </w:p>
        </w:tc>
        <w:tc>
          <w:tcPr>
            <w:tcW w:type="dxa" w:w="6000"/>
            <w:tcMar>
              <w:top w:type="dxa" w:w="80"/>
              <w:left w:type="dxa" w:w="100"/>
              <w:bottom w:type="dxa" w:w="80"/>
              <w:right w:type="dxa" w:w="100"/>
            </w:tcMar>
          </w:tcPr>
          <w:p>
            <w:r>
              <w:rPr>
                <w:rFonts w:ascii="Calibri" w:cs="Calibri" w:eastAsia="Calibri" w:hAnsi="Calibri"/>
                <w:b w:val="false"/>
                <w:bCs w:val="false"/>
                <w:sz w:val="20"/>
                <w:szCs w:val="20"/>
              </w:rPr>
              <w:t xml:space="preserve">rsid, chromosome, position, allele1, allele2</w:t>
            </w:r>
          </w:p>
        </w:tc>
        <w:tc>
          <w:tcPr>
            <w:tcW w:type="dxa" w:w="1600"/>
            <w:tcMar>
              <w:top w:type="dxa" w:w="80"/>
              <w:left w:type="dxa" w:w="100"/>
              <w:bottom w:type="dxa" w:w="80"/>
              <w:right w:type="dxa" w:w="100"/>
            </w:tcMar>
          </w:tcPr>
          <w:p>
            <w:r>
              <w:rPr>
                <w:rFonts w:ascii="Calibri" w:cs="Calibri" w:eastAsia="Calibri" w:hAnsi="Calibri"/>
                <w:b w:val="false"/>
                <w:bCs w:val="false"/>
                <w:sz w:val="20"/>
                <w:szCs w:val="20"/>
              </w:rPr>
              <w:t xml:space="preserve">5 (100% of rows)</w:t>
            </w:r>
          </w:p>
        </w:tc>
      </w:tr>
      <w:tr>
        <w:tc>
          <w:tcPr>
            <w:tcW w:type="dxa" w:w="1600"/>
            <w:tcMar>
              <w:top w:type="dxa" w:w="80"/>
              <w:left w:type="dxa" w:w="100"/>
              <w:bottom w:type="dxa" w:w="80"/>
              <w:right w:type="dxa" w:w="100"/>
            </w:tcMar>
          </w:tcPr>
          <w:p>
            <w:r>
              <w:rPr>
                <w:rFonts w:ascii="Calibri" w:cs="Calibri" w:eastAsia="Calibri" w:hAnsi="Calibri"/>
                <w:b w:val="false"/>
                <w:bCs w:val="false"/>
                <w:sz w:val="20"/>
                <w:szCs w:val="20"/>
              </w:rPr>
              <w:t xml:space="preserve">B</w:t>
            </w:r>
          </w:p>
        </w:tc>
        <w:tc>
          <w:tcPr>
            <w:tcW w:type="dxa" w:w="6000"/>
            <w:tcMar>
              <w:top w:type="dxa" w:w="80"/>
              <w:left w:type="dxa" w:w="100"/>
              <w:bottom w:type="dxa" w:w="80"/>
              <w:right w:type="dxa" w:w="100"/>
            </w:tcMar>
          </w:tcPr>
          <w:p>
            <w:r>
              <w:rPr>
                <w:rFonts w:ascii="Calibri" w:cs="Calibri" w:eastAsia="Calibri" w:hAnsi="Calibri"/>
                <w:b w:val="false"/>
                <w:bCs w:val="false"/>
                <w:sz w:val="20"/>
                <w:szCs w:val="20"/>
              </w:rPr>
              <w:t xml:space="preserve">rsid, chromosome, position, genotype</w:t>
            </w:r>
          </w:p>
        </w:tc>
        <w:tc>
          <w:tcPr>
            <w:tcW w:type="dxa" w:w="1600"/>
            <w:tcMar>
              <w:top w:type="dxa" w:w="80"/>
              <w:left w:type="dxa" w:w="100"/>
              <w:bottom w:type="dxa" w:w="80"/>
              <w:right w:type="dxa" w:w="100"/>
            </w:tcMar>
          </w:tcPr>
          <w:p>
            <w:r>
              <w:rPr>
                <w:rFonts w:ascii="Calibri" w:cs="Calibri" w:eastAsia="Calibri" w:hAnsi="Calibri"/>
                <w:b w:val="false"/>
                <w:bCs w:val="false"/>
                <w:sz w:val="20"/>
                <w:szCs w:val="20"/>
              </w:rPr>
              <w:t xml:space="preserve">4 (100% of rows)</w:t>
            </w:r>
          </w:p>
        </w:tc>
      </w:tr>
    </w:tbl>
    <w:p>
      <w:pPr>
        <w:spacing w:after="200"/>
      </w:pPr>
    </w:p>
    <w:p>
      <w:pPr>
        <w:pStyle w:val="Heading2"/>
        <w:spacing w:after="120" w:before="240"/>
      </w:pPr>
      <w:r>
        <w:t xml:space="preserve">6.3 Value Conventions Observed</w:t>
      </w:r>
    </w:p>
    <w:p>
      <w:pPr>
        <w:pStyle w:val="ListParagraph"/>
        <w:numPr>
          <w:ilvl w:val="0"/>
          <w:numId w:val="1"/>
        </w:numPr>
        <w:spacing w:after="100"/>
      </w:pPr>
      <w:r>
        <w:t xml:space="preserve">Dataset A rsid values are alphanumeric dbSNP-style identifiers in the sampled rows; chromosome and position values are numeric strings.</w:t>
      </w:r>
    </w:p>
    <w:p>
      <w:pPr>
        <w:pStyle w:val="ListParagraph"/>
        <w:numPr>
          <w:ilvl w:val="0"/>
          <w:numId w:val="1"/>
        </w:numPr>
        <w:spacing w:after="100"/>
      </w:pPr>
      <w:r>
        <w:t xml:space="preserve">Dataset A allele1/allele2 columns each observed to be single-character strings in 100% of rows, drawn primarily from {A, T, G, C}, with 'I'/'D' tokens and a literal '0' token (502 rows) also observed; no empty-string values were observed in either allele column.</w:t>
      </w:r>
    </w:p>
    <w:p>
      <w:pPr>
        <w:pStyle w:val="ListParagraph"/>
        <w:numPr>
          <w:ilvl w:val="0"/>
          <w:numId w:val="1"/>
        </w:numPr>
        <w:spacing w:after="100"/>
      </w:pPr>
      <w:r>
        <w:t xml:space="preserve">Dataset B rsid values include both standard dbSNP 'rs...' identifiers and platform-internal 'i...' identifiers, per the file's own header comment.</w:t>
      </w:r>
    </w:p>
    <w:p>
      <w:pPr>
        <w:pStyle w:val="ListParagraph"/>
        <w:numPr>
          <w:ilvl w:val="0"/>
          <w:numId w:val="1"/>
        </w:numPr>
        <w:spacing w:after="100"/>
      </w:pPr>
      <w:r>
        <w:t xml:space="preserve">Dataset B genotype column observed values include two-character diploid calls (e.g. 'CC', 'AG'), single-character haploid-style calls (e.g. 'A'), the documented no-call token '--' (10,093 rows), and the documented indel tokens 'II' (3,242), 'DD' (1,244), and 'DI' (43); no empty-string values were observed.</w:t>
      </w:r>
    </w:p>
    <w:p>
      <w:pPr>
        <w:pStyle w:val="ListParagraph"/>
        <w:numPr>
          <w:ilvl w:val="0"/>
          <w:numId w:val="1"/>
        </w:numPr>
        <w:spacing w:after="100"/>
      </w:pPr>
      <w:r>
        <w:t xml:space="preserve">Dataset A chromosome labels observed: purely numeric strings '1' through '26' (including codes '23'–'26' whose biological meaning is not defined within the file itself).</w:t>
      </w:r>
    </w:p>
    <w:p>
      <w:pPr>
        <w:pStyle w:val="ListParagraph"/>
        <w:numPr>
          <w:ilvl w:val="0"/>
          <w:numId w:val="1"/>
        </w:numPr>
        <w:spacing w:after="100"/>
      </w:pPr>
      <w:r>
        <w:t xml:space="preserve">Dataset B chromosome labels observed: numeric strings '1' through '22' plus alphabetic tokens 'X', 'Y', 'MT', per the file's own documented header.</w:t>
      </w:r>
    </w:p>
    <w:p>
      <w:pPr>
        <w:pStyle w:val="Heading1"/>
        <w:spacing w:after="160" w:before="360"/>
      </w:pPr>
      <w:r>
        <w:t xml:space="preserve">7. Output Specifications</w:t>
      </w:r>
    </w:p>
    <w:p>
      <w:pPr>
        <w:spacing w:after="160"/>
        <w:jc w:val="both"/>
      </w:pPr>
      <w:r>
        <w:rPr>
          <w:rFonts w:ascii="Calibri" w:cs="Calibri" w:eastAsia="Calibri" w:hAnsi="Calibri"/>
          <w:sz w:val="22"/>
          <w:szCs w:val="22"/>
        </w:rPr>
        <w:t xml:space="preserve">Outputs are specified only to the extent the notebook demonstrates a corresponding analysis was produced. The concrete output file format/technology (e.g. a specific serialization or reporting medium) is an implementation decision and is deliberately not specified here, consistent with the instruction not to invent future implementation details.</w:t>
      </w:r>
    </w:p>
    <w:p>
      <w:pPr>
        <w:spacing w:after="160"/>
        <w:jc w:val="both"/>
      </w:pPr>
      <w:r>
        <w:rPr>
          <w:rFonts w:ascii="Calibri" w:cs="Calibri" w:eastAsia="Calibri" w:hAnsi="Calibri"/>
          <w:sz w:val="22"/>
          <w:szCs w:val="22"/>
        </w:rPr>
        <w:t xml:space="preserve">For each ingested file, the system shall be capable of producing a structural profiling report containing, at minimum, the following per-file elements, each corresponding to a section of the source notebook:</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200"/>
        <w:gridCol w:w="8000"/>
      </w:tblGrid>
      <w:tr>
        <w:tc>
          <w:tcPr>
            <w:tcW w:type="dxa" w:w="1200"/>
            <w:shd w:fill="1F3864" w:color="auto" w:val="clear"/>
            <w:tcMar>
              <w:top w:type="dxa" w:w="80"/>
              <w:left w:type="dxa" w:w="100"/>
              <w:bottom w:type="dxa" w:w="80"/>
              <w:right w:type="dxa" w:w="100"/>
            </w:tcMar>
          </w:tcPr>
          <w:p>
            <w:r>
              <w:rPr>
                <w:rFonts w:ascii="Calibri" w:cs="Calibri" w:eastAsia="Calibri" w:hAnsi="Calibri"/>
                <w:b/>
                <w:bCs/>
                <w:color w:val="FFFFFF"/>
                <w:sz w:val="20"/>
                <w:szCs w:val="20"/>
              </w:rPr>
              <w:t xml:space="preserve">ID</w:t>
            </w:r>
          </w:p>
        </w:tc>
        <w:tc>
          <w:tcPr>
            <w:tcW w:type="dxa" w:w="8000"/>
            <w:shd w:fill="1F3864" w:color="auto" w:val="clear"/>
            <w:tcMar>
              <w:top w:type="dxa" w:w="80"/>
              <w:left w:type="dxa" w:w="100"/>
              <w:bottom w:type="dxa" w:w="80"/>
              <w:right w:type="dxa" w:w="100"/>
            </w:tcMar>
          </w:tcPr>
          <w:p>
            <w:r>
              <w:rPr>
                <w:rFonts w:ascii="Calibri" w:cs="Calibri" w:eastAsia="Calibri" w:hAnsi="Calibri"/>
                <w:b/>
                <w:bCs/>
                <w:color w:val="FFFFFF"/>
                <w:sz w:val="20"/>
                <w:szCs w:val="20"/>
              </w:rPr>
              <w:t xml:space="preserve">Requirement</w:t>
            </w:r>
          </w:p>
        </w:tc>
      </w:tr>
      <w:tr>
        <w:tc>
          <w:tcPr>
            <w:tcW w:type="dxa" w:w="1200"/>
            <w:tcMar>
              <w:top w:type="dxa" w:w="80"/>
              <w:left w:type="dxa" w:w="100"/>
              <w:bottom w:type="dxa" w:w="80"/>
              <w:right w:type="dxa" w:w="100"/>
            </w:tcMar>
          </w:tcPr>
          <w:p>
            <w:r>
              <w:rPr>
                <w:rFonts w:ascii="Calibri" w:cs="Calibri" w:eastAsia="Calibri" w:hAnsi="Calibri"/>
                <w:b/>
                <w:bCs/>
                <w:sz w:val="20"/>
                <w:szCs w:val="20"/>
              </w:rPr>
              <w:t xml:space="preserve">OUT-1</w:t>
            </w:r>
          </w:p>
        </w:tc>
        <w:tc>
          <w:tcPr>
            <w:tcW w:type="dxa" w:w="8000"/>
            <w:tcMar>
              <w:top w:type="dxa" w:w="80"/>
              <w:left w:type="dxa" w:w="100"/>
              <w:bottom w:type="dxa" w:w="80"/>
              <w:right w:type="dxa" w:w="100"/>
            </w:tcMar>
          </w:tcPr>
          <w:p>
            <w:r>
              <w:rPr>
                <w:rFonts w:ascii="Calibri" w:cs="Calibri" w:eastAsia="Calibri" w:hAnsi="Calibri"/>
                <w:b w:val="false"/>
                <w:bCs w:val="false"/>
                <w:sz w:val="20"/>
                <w:szCs w:val="20"/>
              </w:rPr>
              <w:t xml:space="preserve">Raw and data-only line counts, and comment-line count (notebook Section 2).</w:t>
            </w:r>
          </w:p>
        </w:tc>
      </w:tr>
      <w:tr>
        <w:tc>
          <w:tcPr>
            <w:tcW w:type="dxa" w:w="1200"/>
            <w:tcMar>
              <w:top w:type="dxa" w:w="80"/>
              <w:left w:type="dxa" w:w="100"/>
              <w:bottom w:type="dxa" w:w="80"/>
              <w:right w:type="dxa" w:w="100"/>
            </w:tcMar>
          </w:tcPr>
          <w:p>
            <w:r>
              <w:rPr>
                <w:rFonts w:ascii="Calibri" w:cs="Calibri" w:eastAsia="Calibri" w:hAnsi="Calibri"/>
                <w:b/>
                <w:bCs/>
                <w:sz w:val="20"/>
                <w:szCs w:val="20"/>
              </w:rPr>
              <w:t xml:space="preserve">OUT-2</w:t>
            </w:r>
          </w:p>
        </w:tc>
        <w:tc>
          <w:tcPr>
            <w:tcW w:type="dxa" w:w="8000"/>
            <w:tcMar>
              <w:top w:type="dxa" w:w="80"/>
              <w:left w:type="dxa" w:w="100"/>
              <w:bottom w:type="dxa" w:w="80"/>
              <w:right w:type="dxa" w:w="100"/>
            </w:tcMar>
          </w:tcPr>
          <w:p>
            <w:r>
              <w:rPr>
                <w:rFonts w:ascii="Calibri" w:cs="Calibri" w:eastAsia="Calibri" w:hAnsi="Calibri"/>
                <w:b w:val="false"/>
                <w:bCs w:val="false"/>
                <w:sz w:val="20"/>
                <w:szCs w:val="20"/>
              </w:rPr>
              <w:t xml:space="preserve">Detected file-format characteristics: size in bytes, file extension, and leading bytes (notebook Section 3.1).</w:t>
            </w:r>
          </w:p>
        </w:tc>
      </w:tr>
      <w:tr>
        <w:tc>
          <w:tcPr>
            <w:tcW w:type="dxa" w:w="1200"/>
            <w:tcMar>
              <w:top w:type="dxa" w:w="80"/>
              <w:left w:type="dxa" w:w="100"/>
              <w:bottom w:type="dxa" w:w="80"/>
              <w:right w:type="dxa" w:w="100"/>
            </w:tcMar>
          </w:tcPr>
          <w:p>
            <w:r>
              <w:rPr>
                <w:rFonts w:ascii="Calibri" w:cs="Calibri" w:eastAsia="Calibri" w:hAnsi="Calibri"/>
                <w:b/>
                <w:bCs/>
                <w:sz w:val="20"/>
                <w:szCs w:val="20"/>
              </w:rPr>
              <w:t xml:space="preserve">OUT-3</w:t>
            </w:r>
          </w:p>
        </w:tc>
        <w:tc>
          <w:tcPr>
            <w:tcW w:type="dxa" w:w="8000"/>
            <w:tcMar>
              <w:top w:type="dxa" w:w="80"/>
              <w:left w:type="dxa" w:w="100"/>
              <w:bottom w:type="dxa" w:w="80"/>
              <w:right w:type="dxa" w:w="100"/>
            </w:tcMar>
          </w:tcPr>
          <w:p>
            <w:r>
              <w:rPr>
                <w:rFonts w:ascii="Calibri" w:cs="Calibri" w:eastAsia="Calibri" w:hAnsi="Calibri"/>
                <w:b w:val="false"/>
                <w:bCs w:val="false"/>
                <w:sz w:val="20"/>
                <w:szCs w:val="20"/>
              </w:rPr>
              <w:t xml:space="preserve">Detected encoding characteristics: BOM presence and decodability under ASCII/UTF-8/UTF-8-sig/Latin-1 (notebook Section 3.2).</w:t>
            </w:r>
          </w:p>
        </w:tc>
      </w:tr>
      <w:tr>
        <w:tc>
          <w:tcPr>
            <w:tcW w:type="dxa" w:w="1200"/>
            <w:tcMar>
              <w:top w:type="dxa" w:w="80"/>
              <w:left w:type="dxa" w:w="100"/>
              <w:bottom w:type="dxa" w:w="80"/>
              <w:right w:type="dxa" w:w="100"/>
            </w:tcMar>
          </w:tcPr>
          <w:p>
            <w:r>
              <w:rPr>
                <w:rFonts w:ascii="Calibri" w:cs="Calibri" w:eastAsia="Calibri" w:hAnsi="Calibri"/>
                <w:b/>
                <w:bCs/>
                <w:sz w:val="20"/>
                <w:szCs w:val="20"/>
              </w:rPr>
              <w:t xml:space="preserve">OUT-4</w:t>
            </w:r>
          </w:p>
        </w:tc>
        <w:tc>
          <w:tcPr>
            <w:tcW w:type="dxa" w:w="8000"/>
            <w:tcMar>
              <w:top w:type="dxa" w:w="80"/>
              <w:left w:type="dxa" w:w="100"/>
              <w:bottom w:type="dxa" w:w="80"/>
              <w:right w:type="dxa" w:w="100"/>
            </w:tcMar>
          </w:tcPr>
          <w:p>
            <w:r>
              <w:rPr>
                <w:rFonts w:ascii="Calibri" w:cs="Calibri" w:eastAsia="Calibri" w:hAnsi="Calibri"/>
                <w:b w:val="false"/>
                <w:bCs w:val="false"/>
                <w:sz w:val="20"/>
                <w:szCs w:val="20"/>
              </w:rPr>
              <w:t xml:space="preserve">Detected delimiter and header status (uncommented header row, commented-only header, or absent), together with the resolved column name list (notebook Sections 3.5 and 4.1).</w:t>
            </w:r>
          </w:p>
        </w:tc>
      </w:tr>
      <w:tr>
        <w:tc>
          <w:tcPr>
            <w:tcW w:type="dxa" w:w="1200"/>
            <w:tcMar>
              <w:top w:type="dxa" w:w="80"/>
              <w:left w:type="dxa" w:w="100"/>
              <w:bottom w:type="dxa" w:w="80"/>
              <w:right w:type="dxa" w:w="100"/>
            </w:tcMar>
          </w:tcPr>
          <w:p>
            <w:r>
              <w:rPr>
                <w:rFonts w:ascii="Calibri" w:cs="Calibri" w:eastAsia="Calibri" w:hAnsi="Calibri"/>
                <w:b/>
                <w:bCs/>
                <w:sz w:val="20"/>
                <w:szCs w:val="20"/>
              </w:rPr>
              <w:t xml:space="preserve">OUT-5</w:t>
            </w:r>
          </w:p>
        </w:tc>
        <w:tc>
          <w:tcPr>
            <w:tcW w:type="dxa" w:w="8000"/>
            <w:tcMar>
              <w:top w:type="dxa" w:w="80"/>
              <w:left w:type="dxa" w:w="100"/>
              <w:bottom w:type="dxa" w:w="80"/>
              <w:right w:type="dxa" w:w="100"/>
            </w:tcMar>
          </w:tcPr>
          <w:p>
            <w:r>
              <w:rPr>
                <w:rFonts w:ascii="Calibri" w:cs="Calibri" w:eastAsia="Calibri" w:hAnsi="Calibri"/>
                <w:b w:val="false"/>
                <w:bCs w:val="false"/>
                <w:sz w:val="20"/>
                <w:szCs w:val="20"/>
              </w:rPr>
              <w:t xml:space="preserve">Row and column counts, including the observed column-count distribution across rows (notebook Section 4.2).</w:t>
            </w:r>
          </w:p>
        </w:tc>
      </w:tr>
      <w:tr>
        <w:tc>
          <w:tcPr>
            <w:tcW w:type="dxa" w:w="1200"/>
            <w:tcMar>
              <w:top w:type="dxa" w:w="80"/>
              <w:left w:type="dxa" w:w="100"/>
              <w:bottom w:type="dxa" w:w="80"/>
              <w:right w:type="dxa" w:w="100"/>
            </w:tcMar>
          </w:tcPr>
          <w:p>
            <w:r>
              <w:rPr>
                <w:rFonts w:ascii="Calibri" w:cs="Calibri" w:eastAsia="Calibri" w:hAnsi="Calibri"/>
                <w:b/>
                <w:bCs/>
                <w:sz w:val="20"/>
                <w:szCs w:val="20"/>
              </w:rPr>
              <w:t xml:space="preserve">OUT-6</w:t>
            </w:r>
          </w:p>
        </w:tc>
        <w:tc>
          <w:tcPr>
            <w:tcW w:type="dxa" w:w="8000"/>
            <w:tcMar>
              <w:top w:type="dxa" w:w="80"/>
              <w:left w:type="dxa" w:w="100"/>
              <w:bottom w:type="dxa" w:w="80"/>
              <w:right w:type="dxa" w:w="100"/>
            </w:tcMar>
          </w:tcPr>
          <w:p>
            <w:r>
              <w:rPr>
                <w:rFonts w:ascii="Calibri" w:cs="Calibri" w:eastAsia="Calibri" w:hAnsi="Calibri"/>
                <w:b w:val="false"/>
                <w:bCs w:val="false"/>
                <w:sz w:val="20"/>
                <w:szCs w:val="20"/>
              </w:rPr>
              <w:t xml:space="preserve">Per-column observed value-shape counts (e.g. numeric-like, alphabetic, alphanumeric, other), reported descriptively and not used to impose a schema (notebook Section 4.4).</w:t>
            </w:r>
          </w:p>
        </w:tc>
      </w:tr>
      <w:tr>
        <w:tc>
          <w:tcPr>
            <w:tcW w:type="dxa" w:w="1200"/>
            <w:tcMar>
              <w:top w:type="dxa" w:w="80"/>
              <w:left w:type="dxa" w:w="100"/>
              <w:bottom w:type="dxa" w:w="80"/>
              <w:right w:type="dxa" w:w="100"/>
            </w:tcMar>
          </w:tcPr>
          <w:p>
            <w:r>
              <w:rPr>
                <w:rFonts w:ascii="Calibri" w:cs="Calibri" w:eastAsia="Calibri" w:hAnsi="Calibri"/>
                <w:b/>
                <w:bCs/>
                <w:sz w:val="20"/>
                <w:szCs w:val="20"/>
              </w:rPr>
              <w:t xml:space="preserve">OUT-7</w:t>
            </w:r>
          </w:p>
        </w:tc>
        <w:tc>
          <w:tcPr>
            <w:tcW w:type="dxa" w:w="8000"/>
            <w:tcMar>
              <w:top w:type="dxa" w:w="80"/>
              <w:left w:type="dxa" w:w="100"/>
              <w:bottom w:type="dxa" w:w="80"/>
              <w:right w:type="dxa" w:w="100"/>
            </w:tcMar>
          </w:tcPr>
          <w:p>
            <w:r>
              <w:rPr>
                <w:rFonts w:ascii="Calibri" w:cs="Calibri" w:eastAsia="Calibri" w:hAnsi="Calibri"/>
                <w:b w:val="false"/>
                <w:bCs w:val="false"/>
                <w:sz w:val="20"/>
                <w:szCs w:val="20"/>
              </w:rPr>
              <w:t xml:space="preserve">Data-quality findings: duplicate header row count, malformed/ragged row count, literal missing/no-call token frequencies, duplicate RSID count, and duplicate chromosome-position pair count (notebook Section 5, all sub-sections).</w:t>
            </w:r>
          </w:p>
        </w:tc>
      </w:tr>
      <w:tr>
        <w:tc>
          <w:tcPr>
            <w:tcW w:type="dxa" w:w="1200"/>
            <w:tcMar>
              <w:top w:type="dxa" w:w="80"/>
              <w:left w:type="dxa" w:w="100"/>
              <w:bottom w:type="dxa" w:w="80"/>
              <w:right w:type="dxa" w:w="100"/>
            </w:tcMar>
          </w:tcPr>
          <w:p>
            <w:r>
              <w:rPr>
                <w:rFonts w:ascii="Calibri" w:cs="Calibri" w:eastAsia="Calibri" w:hAnsi="Calibri"/>
                <w:b/>
                <w:bCs/>
                <w:sz w:val="20"/>
                <w:szCs w:val="20"/>
              </w:rPr>
              <w:t xml:space="preserve">OUT-8</w:t>
            </w:r>
          </w:p>
        </w:tc>
        <w:tc>
          <w:tcPr>
            <w:tcW w:type="dxa" w:w="8000"/>
            <w:tcMar>
              <w:top w:type="dxa" w:w="80"/>
              <w:left w:type="dxa" w:w="100"/>
              <w:bottom w:type="dxa" w:w="80"/>
              <w:right w:type="dxa" w:w="100"/>
            </w:tcMar>
          </w:tcPr>
          <w:p>
            <w:r>
              <w:rPr>
                <w:rFonts w:ascii="Calibri" w:cs="Calibri" w:eastAsia="Calibri" w:hAnsi="Calibri"/>
                <w:b w:val="false"/>
                <w:bCs w:val="false"/>
                <w:sz w:val="20"/>
                <w:szCs w:val="20"/>
              </w:rPr>
              <w:t xml:space="preserve">Genomic-notation findings: distinct chromosome labels with per-label row counts; genotype/allele column layout classification; genotype or allele string-length distribution; and, where applicable, indel-token and haploid/diploid classification counts (notebook Section 6, all sub-sections).</w:t>
            </w:r>
          </w:p>
        </w:tc>
      </w:tr>
      <w:tr>
        <w:tc>
          <w:tcPr>
            <w:tcW w:type="dxa" w:w="1200"/>
            <w:tcMar>
              <w:top w:type="dxa" w:w="80"/>
              <w:left w:type="dxa" w:w="100"/>
              <w:bottom w:type="dxa" w:w="80"/>
              <w:right w:type="dxa" w:w="100"/>
            </w:tcMar>
          </w:tcPr>
          <w:p>
            <w:r>
              <w:rPr>
                <w:rFonts w:ascii="Calibri" w:cs="Calibri" w:eastAsia="Calibri" w:hAnsi="Calibri"/>
                <w:b/>
                <w:bCs/>
                <w:sz w:val="20"/>
                <w:szCs w:val="20"/>
              </w:rPr>
              <w:t xml:space="preserve">OUT-9</w:t>
            </w:r>
          </w:p>
        </w:tc>
        <w:tc>
          <w:tcPr>
            <w:tcW w:type="dxa" w:w="8000"/>
            <w:tcMar>
              <w:top w:type="dxa" w:w="80"/>
              <w:left w:type="dxa" w:w="100"/>
              <w:bottom w:type="dxa" w:w="80"/>
              <w:right w:type="dxa" w:w="100"/>
            </w:tcMar>
          </w:tcPr>
          <w:p>
            <w:r>
              <w:rPr>
                <w:rFonts w:ascii="Calibri" w:cs="Calibri" w:eastAsia="Calibri" w:hAnsi="Calibri"/>
                <w:b w:val="false"/>
                <w:bCs w:val="false"/>
                <w:sz w:val="20"/>
                <w:szCs w:val="20"/>
              </w:rPr>
              <w:t xml:space="preserve">An explicit list of open questions or unresolved observations that the report cannot itself answer (e.g. the meaning of non-standard chromosome codes, or the cause of duplicate chromosome-position pairs), mirroring the notebook's own Section 7.2–7.3, so that no report silently omits an unresolved finding.</w:t>
            </w:r>
          </w:p>
        </w:tc>
      </w:tr>
    </w:tbl>
    <w:p>
      <w:pPr>
        <w:spacing w:after="160"/>
        <w:jc w:val="both"/>
      </w:pPr>
      <w:r>
        <w:rPr>
          <w:rFonts w:ascii="Calibri" w:cs="Calibri" w:eastAsia="Calibri" w:hAnsi="Calibri"/>
          <w:sz w:val="22"/>
          <w:szCs w:val="22"/>
        </w:rPr>
        <w:t xml:space="preserve">All outputs shall be produced independently per input file. No merged, joined, or cross-referenced output covering both Dataset A and Dataset B (or files like them) is specified, since no such output was produced in the notebook.</w:t>
      </w:r>
    </w:p>
    <w:p>
      <w:pPr>
        <w:pStyle w:val="Heading1"/>
        <w:spacing w:after="160" w:before="360"/>
      </w:pPr>
      <w:r>
        <w:t xml:space="preserve">8. Assumptions</w:t>
      </w:r>
    </w:p>
    <w:p>
      <w:pPr>
        <w:spacing w:after="160"/>
        <w:jc w:val="both"/>
      </w:pPr>
      <w:r>
        <w:rPr>
          <w:rFonts w:ascii="Calibri" w:cs="Calibri" w:eastAsia="Calibri" w:hAnsi="Calibri"/>
          <w:sz w:val="22"/>
          <w:szCs w:val="22"/>
        </w:rPr>
        <w:t xml:space="preserve">The following assumptions are limited to statements the notebook itself makes or relies on. Assumptions the notebook explicitly declines to make are listed separately in Section 8.2 and are treated as requiring future validation, not as settled premises.</w:t>
      </w:r>
    </w:p>
    <w:p>
      <w:pPr>
        <w:pStyle w:val="Heading2"/>
        <w:spacing w:after="120" w:before="240"/>
      </w:pPr>
      <w:r>
        <w:t xml:space="preserve">8.1 Assumptions Supported by the Notebook</w:t>
      </w:r>
    </w:p>
    <w:p>
      <w:pPr>
        <w:pStyle w:val="ListParagraph"/>
        <w:numPr>
          <w:ilvl w:val="0"/>
          <w:numId w:val="1"/>
        </w:numPr>
        <w:spacing w:after="100"/>
      </w:pPr>
      <w:r>
        <w:t xml:space="preserve">The two evidenced input files are plain-text, delimited exports from consumer DNA testing services (not whole-genome sequence formats such as VCF or FASTQ), consistent with how both files are described and structurally confirmed in the notebook.</w:t>
      </w:r>
    </w:p>
    <w:p>
      <w:pPr>
        <w:pStyle w:val="ListParagraph"/>
        <w:numPr>
          <w:ilvl w:val="0"/>
          <w:numId w:val="1"/>
        </w:numPr>
        <w:spacing w:after="100"/>
      </w:pPr>
      <w:r>
        <w:t xml:space="preserve">The two evidenced files belong to the same individual, as stated in the notebook's own purpose statement; this is treated as a given fact about the input data, not as an assumption about biological comparability between the files' contents.</w:t>
      </w:r>
    </w:p>
    <w:p>
      <w:pPr>
        <w:pStyle w:val="ListParagraph"/>
        <w:numPr>
          <w:ilvl w:val="0"/>
          <w:numId w:val="1"/>
        </w:numPr>
        <w:spacing w:after="100"/>
      </w:pPr>
      <w:r>
        <w:t xml:space="preserve">Each file's own header comments may document format conventions (e.g. column meaning, strand orientation, missing-value tokens) that are useful for interpretation, but such documentation is file-specific and is not assumed to generalize to files from other sources without separate verification.</w:t>
      </w:r>
    </w:p>
    <w:p>
      <w:pPr>
        <w:pStyle w:val="ListParagraph"/>
        <w:numPr>
          <w:ilvl w:val="0"/>
          <w:numId w:val="1"/>
        </w:numPr>
        <w:spacing w:after="100"/>
      </w:pPr>
      <w:r>
        <w:t xml:space="preserve">Files of this kind may vary in comment-header length, column count, header placement, and literal token conventions, since the two evidenced files already differ on every one of these dimensions.</w:t>
      </w:r>
    </w:p>
    <w:p>
      <w:pPr>
        <w:pStyle w:val="Heading2"/>
        <w:spacing w:after="120" w:before="240"/>
      </w:pPr>
      <w:r>
        <w:t xml:space="preserve">8.2 Assumptions Explicitly NOT Made (Require Future Validation)</w:t>
      </w:r>
    </w:p>
    <w:p>
      <w:pPr>
        <w:spacing w:after="160"/>
        <w:jc w:val="both"/>
      </w:pPr>
      <w:r>
        <w:rPr>
          <w:rFonts w:ascii="Calibri" w:cs="Calibri" w:eastAsia="Calibri" w:hAnsi="Calibri"/>
          <w:sz w:val="22"/>
          <w:szCs w:val="22"/>
        </w:rPr>
        <w:t xml:space="preserve">The notebook explicitly states that the following cannot yet be assumed. This SRS preserves that position and treats each as an open item for future, separate validation rather than as a premise for any requirement above:</w:t>
      </w:r>
    </w:p>
    <w:p>
      <w:pPr>
        <w:pStyle w:val="ListParagraph"/>
        <w:numPr>
          <w:ilvl w:val="0"/>
          <w:numId w:val="1"/>
        </w:numPr>
        <w:spacing w:after="100"/>
      </w:pPr>
      <w:r>
        <w:t xml:space="preserve">That the two files' chromosome notations are equivalent or directly mappable to one another (numeric-only versus numeric-plus-alphabetic).</w:t>
      </w:r>
    </w:p>
    <w:p>
      <w:pPr>
        <w:pStyle w:val="ListParagraph"/>
        <w:numPr>
          <w:ilvl w:val="0"/>
          <w:numId w:val="1"/>
        </w:numPr>
        <w:spacing w:after="100"/>
      </w:pPr>
      <w:r>
        <w:t xml:space="preserve">That AncestryDNA's higher numeric chromosome codes (e.g. '25', '26') correspond to any particular one of X, Y, the pseudoautosomal region, or MT, absent an authoritative, documented mapping.</w:t>
      </w:r>
    </w:p>
    <w:p>
      <w:pPr>
        <w:pStyle w:val="ListParagraph"/>
        <w:numPr>
          <w:ilvl w:val="0"/>
          <w:numId w:val="1"/>
        </w:numPr>
        <w:spacing w:after="100"/>
      </w:pPr>
      <w:r>
        <w:t xml:space="preserve">That a given RSID refers to the same physical genomic position across both files, since no cross-file comparison has been performed.</w:t>
      </w:r>
    </w:p>
    <w:p>
      <w:pPr>
        <w:pStyle w:val="ListParagraph"/>
        <w:numPr>
          <w:ilvl w:val="0"/>
          <w:numId w:val="1"/>
        </w:numPr>
        <w:spacing w:after="100"/>
      </w:pPr>
      <w:r>
        <w:t xml:space="preserve">That both files share the same strand orientation in practice beyond what each file's own header claims (both claim forward/plus strand, but neither claim has been independently verified).</w:t>
      </w:r>
    </w:p>
    <w:p>
      <w:pPr>
        <w:pStyle w:val="ListParagraph"/>
        <w:numPr>
          <w:ilvl w:val="0"/>
          <w:numId w:val="1"/>
        </w:numPr>
        <w:spacing w:after="100"/>
      </w:pPr>
      <w:r>
        <w:t xml:space="preserve">That missing/no-call tokens are handled equivalently between the two files, given their different column layouts and potentially different literal tokens.</w:t>
      </w:r>
    </w:p>
    <w:p>
      <w:pPr>
        <w:pStyle w:val="ListParagraph"/>
        <w:numPr>
          <w:ilvl w:val="0"/>
          <w:numId w:val="1"/>
        </w:numPr>
        <w:spacing w:after="100"/>
      </w:pPr>
      <w:r>
        <w:t xml:space="preserve">That duplicate RSIDs or duplicate chromosome-position pairs represent errors, multi-allelic probes, re-genotyped probes, or any other specific cause.</w:t>
      </w:r>
    </w:p>
    <w:p>
      <w:pPr>
        <w:pStyle w:val="Heading1"/>
        <w:spacing w:after="160" w:before="360"/>
      </w:pPr>
      <w:r>
        <w:t xml:space="preserve">9. Constraints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200"/>
        <w:gridCol w:w="8000"/>
      </w:tblGrid>
      <w:tr>
        <w:tc>
          <w:tcPr>
            <w:tcW w:type="dxa" w:w="1200"/>
            <w:shd w:fill="1F3864" w:color="auto" w:val="clear"/>
            <w:tcMar>
              <w:top w:type="dxa" w:w="80"/>
              <w:left w:type="dxa" w:w="100"/>
              <w:bottom w:type="dxa" w:w="80"/>
              <w:right w:type="dxa" w:w="100"/>
            </w:tcMar>
          </w:tcPr>
          <w:p>
            <w:r>
              <w:rPr>
                <w:rFonts w:ascii="Calibri" w:cs="Calibri" w:eastAsia="Calibri" w:hAnsi="Calibri"/>
                <w:b/>
                <w:bCs/>
                <w:color w:val="FFFFFF"/>
                <w:sz w:val="20"/>
                <w:szCs w:val="20"/>
              </w:rPr>
              <w:t xml:space="preserve">ID</w:t>
            </w:r>
          </w:p>
        </w:tc>
        <w:tc>
          <w:tcPr>
            <w:tcW w:type="dxa" w:w="8000"/>
            <w:shd w:fill="1F3864" w:color="auto" w:val="clear"/>
            <w:tcMar>
              <w:top w:type="dxa" w:w="80"/>
              <w:left w:type="dxa" w:w="100"/>
              <w:bottom w:type="dxa" w:w="80"/>
              <w:right w:type="dxa" w:w="100"/>
            </w:tcMar>
          </w:tcPr>
          <w:p>
            <w:r>
              <w:rPr>
                <w:rFonts w:ascii="Calibri" w:cs="Calibri" w:eastAsia="Calibri" w:hAnsi="Calibri"/>
                <w:b/>
                <w:bCs/>
                <w:color w:val="FFFFFF"/>
                <w:sz w:val="20"/>
                <w:szCs w:val="20"/>
              </w:rPr>
              <w:t xml:space="preserve">Requirement</w:t>
            </w:r>
          </w:p>
        </w:tc>
      </w:tr>
      <w:tr>
        <w:tc>
          <w:tcPr>
            <w:tcW w:type="dxa" w:w="1200"/>
            <w:tcMar>
              <w:top w:type="dxa" w:w="80"/>
              <w:left w:type="dxa" w:w="100"/>
              <w:bottom w:type="dxa" w:w="80"/>
              <w:right w:type="dxa" w:w="100"/>
            </w:tcMar>
          </w:tcPr>
          <w:p>
            <w:r>
              <w:rPr>
                <w:rFonts w:ascii="Calibri" w:cs="Calibri" w:eastAsia="Calibri" w:hAnsi="Calibri"/>
                <w:b/>
                <w:bCs/>
                <w:sz w:val="20"/>
                <w:szCs w:val="20"/>
              </w:rPr>
              <w:t xml:space="preserve">CON-1</w:t>
            </w:r>
          </w:p>
        </w:tc>
        <w:tc>
          <w:tcPr>
            <w:tcW w:type="dxa" w:w="8000"/>
            <w:tcMar>
              <w:top w:type="dxa" w:w="80"/>
              <w:left w:type="dxa" w:w="100"/>
              <w:bottom w:type="dxa" w:w="80"/>
              <w:right w:type="dxa" w:w="100"/>
            </w:tcMar>
          </w:tcPr>
          <w:p>
            <w:r>
              <w:rPr>
                <w:rFonts w:ascii="Calibri" w:cs="Calibri" w:eastAsia="Calibri" w:hAnsi="Calibri"/>
                <w:b w:val="false"/>
                <w:bCs w:val="false"/>
                <w:sz w:val="20"/>
                <w:szCs w:val="20"/>
              </w:rPr>
              <w:t xml:space="preserve">Source files are proprietary, vendor-specific consumer DNA export formats with no formally enforced schema beyond what each vendor documents in its own comment header; no external format specification is available within the evidence base.</w:t>
            </w:r>
          </w:p>
        </w:tc>
      </w:tr>
      <w:tr>
        <w:tc>
          <w:tcPr>
            <w:tcW w:type="dxa" w:w="1200"/>
            <w:tcMar>
              <w:top w:type="dxa" w:w="80"/>
              <w:left w:type="dxa" w:w="100"/>
              <w:bottom w:type="dxa" w:w="80"/>
              <w:right w:type="dxa" w:w="100"/>
            </w:tcMar>
          </w:tcPr>
          <w:p>
            <w:r>
              <w:rPr>
                <w:rFonts w:ascii="Calibri" w:cs="Calibri" w:eastAsia="Calibri" w:hAnsi="Calibri"/>
                <w:b/>
                <w:bCs/>
                <w:sz w:val="20"/>
                <w:szCs w:val="20"/>
              </w:rPr>
              <w:t xml:space="preserve">CON-2</w:t>
            </w:r>
          </w:p>
        </w:tc>
        <w:tc>
          <w:tcPr>
            <w:tcW w:type="dxa" w:w="8000"/>
            <w:tcMar>
              <w:top w:type="dxa" w:w="80"/>
              <w:left w:type="dxa" w:w="100"/>
              <w:bottom w:type="dxa" w:w="80"/>
              <w:right w:type="dxa" w:w="100"/>
            </w:tcMar>
          </w:tcPr>
          <w:p>
            <w:r>
              <w:rPr>
                <w:rFonts w:ascii="Calibri" w:cs="Calibri" w:eastAsia="Calibri" w:hAnsi="Calibri"/>
                <w:b w:val="false"/>
                <w:bCs w:val="false"/>
                <w:sz w:val="20"/>
                <w:szCs w:val="20"/>
              </w:rPr>
              <w:t xml:space="preserve">Dataset A provides no in-file authoritative mapping from its numeric chromosome codes beyond '22' (i.e. '23'–'26') to conventional chromosome names; any interpretation of these codes is constrained by the absence of such a mapping in the source data.</w:t>
            </w:r>
          </w:p>
        </w:tc>
      </w:tr>
      <w:tr>
        <w:tc>
          <w:tcPr>
            <w:tcW w:type="dxa" w:w="1200"/>
            <w:tcMar>
              <w:top w:type="dxa" w:w="80"/>
              <w:left w:type="dxa" w:w="100"/>
              <w:bottom w:type="dxa" w:w="80"/>
              <w:right w:type="dxa" w:w="100"/>
            </w:tcMar>
          </w:tcPr>
          <w:p>
            <w:r>
              <w:rPr>
                <w:rFonts w:ascii="Calibri" w:cs="Calibri" w:eastAsia="Calibri" w:hAnsi="Calibri"/>
                <w:b/>
                <w:bCs/>
                <w:sz w:val="20"/>
                <w:szCs w:val="20"/>
              </w:rPr>
              <w:t xml:space="preserve">CON-3</w:t>
            </w:r>
          </w:p>
        </w:tc>
        <w:tc>
          <w:tcPr>
            <w:tcW w:type="dxa" w:w="8000"/>
            <w:tcMar>
              <w:top w:type="dxa" w:w="80"/>
              <w:left w:type="dxa" w:w="100"/>
              <w:bottom w:type="dxa" w:w="80"/>
              <w:right w:type="dxa" w:w="100"/>
            </w:tcMar>
          </w:tcPr>
          <w:p>
            <w:r>
              <w:rPr>
                <w:rFonts w:ascii="Calibri" w:cs="Calibri" w:eastAsia="Calibri" w:hAnsi="Calibri"/>
                <w:b w:val="false"/>
                <w:bCs w:val="false"/>
                <w:sz w:val="20"/>
                <w:szCs w:val="20"/>
              </w:rPr>
              <w:t xml:space="preserve">No cross-file identifier or positional equivalence has been established between Dataset A and Dataset B; any functionality that would require such equivalence is constrained until a separate, future verification step is designed and performed.</w:t>
            </w:r>
          </w:p>
        </w:tc>
      </w:tr>
      <w:tr>
        <w:tc>
          <w:tcPr>
            <w:tcW w:type="dxa" w:w="1200"/>
            <w:tcMar>
              <w:top w:type="dxa" w:w="80"/>
              <w:left w:type="dxa" w:w="100"/>
              <w:bottom w:type="dxa" w:w="80"/>
              <w:right w:type="dxa" w:w="100"/>
            </w:tcMar>
          </w:tcPr>
          <w:p>
            <w:r>
              <w:rPr>
                <w:rFonts w:ascii="Calibri" w:cs="Calibri" w:eastAsia="Calibri" w:hAnsi="Calibri"/>
                <w:b/>
                <w:bCs/>
                <w:sz w:val="20"/>
                <w:szCs w:val="20"/>
              </w:rPr>
              <w:t xml:space="preserve">CON-4</w:t>
            </w:r>
          </w:p>
        </w:tc>
        <w:tc>
          <w:tcPr>
            <w:tcW w:type="dxa" w:w="8000"/>
            <w:tcMar>
              <w:top w:type="dxa" w:w="80"/>
              <w:left w:type="dxa" w:w="100"/>
              <w:bottom w:type="dxa" w:w="80"/>
              <w:right w:type="dxa" w:w="100"/>
            </w:tcMar>
          </w:tcPr>
          <w:p>
            <w:r>
              <w:rPr>
                <w:rFonts w:ascii="Calibri" w:cs="Calibri" w:eastAsia="Calibri" w:hAnsi="Calibri"/>
                <w:b w:val="false"/>
                <w:bCs w:val="false"/>
                <w:sz w:val="20"/>
                <w:szCs w:val="20"/>
              </w:rPr>
              <w:t xml:space="preserve">The empirical evidence base is limited to two files of comparable scale (approximately 15–18 MB, approximately 630,000–680,000 lines each); no evidence exists in the notebook regarding system behavior at substantially larger or smaller scales, or with a larger number of concurrent files.</w:t>
            </w:r>
          </w:p>
        </w:tc>
      </w:tr>
      <w:tr>
        <w:tc>
          <w:tcPr>
            <w:tcW w:type="dxa" w:w="1200"/>
            <w:tcMar>
              <w:top w:type="dxa" w:w="80"/>
              <w:left w:type="dxa" w:w="100"/>
              <w:bottom w:type="dxa" w:w="80"/>
              <w:right w:type="dxa" w:w="100"/>
            </w:tcMar>
          </w:tcPr>
          <w:p>
            <w:r>
              <w:rPr>
                <w:rFonts w:ascii="Calibri" w:cs="Calibri" w:eastAsia="Calibri" w:hAnsi="Calibri"/>
                <w:b/>
                <w:bCs/>
                <w:sz w:val="20"/>
                <w:szCs w:val="20"/>
              </w:rPr>
              <w:t xml:space="preserve">CON-5</w:t>
            </w:r>
          </w:p>
        </w:tc>
        <w:tc>
          <w:tcPr>
            <w:tcW w:type="dxa" w:w="8000"/>
            <w:tcMar>
              <w:top w:type="dxa" w:w="80"/>
              <w:left w:type="dxa" w:w="100"/>
              <w:bottom w:type="dxa" w:w="80"/>
              <w:right w:type="dxa" w:w="100"/>
            </w:tcMar>
          </w:tcPr>
          <w:p>
            <w:r>
              <w:rPr>
                <w:rFonts w:ascii="Calibri" w:cs="Calibri" w:eastAsia="Calibri" w:hAnsi="Calibri"/>
                <w:b w:val="false"/>
                <w:bCs w:val="false"/>
                <w:sz w:val="20"/>
                <w:szCs w:val="20"/>
              </w:rPr>
              <w:t xml:space="preserve">The evidence base consists of two files from two specific vendors and platform versions (AncestryDNA array V2.0/converter V1.0; 23andMe v5 chip). Generalization of any requirement to other vendors, chip versions, or export formats is constrained accordingly and would require additional evidence.</w:t>
            </w:r>
          </w:p>
        </w:tc>
      </w:tr>
    </w:tbl>
    <w:p>
      <w:pPr>
        <w:pStyle w:val="Heading1"/>
        <w:spacing w:after="160" w:before="360"/>
      </w:pPr>
      <w:r>
        <w:t xml:space="preserve">10. Risks Identified from the Dataset Exploration</w:t>
      </w:r>
    </w:p>
    <w:p>
      <w:pPr>
        <w:spacing w:after="160"/>
        <w:jc w:val="both"/>
      </w:pPr>
      <w:r>
        <w:rPr>
          <w:rFonts w:ascii="Calibri" w:cs="Calibri" w:eastAsia="Calibri" w:hAnsi="Calibri"/>
          <w:sz w:val="22"/>
          <w:szCs w:val="22"/>
        </w:rPr>
        <w:t xml:space="preserve">The risks below are drawn directly from structural observations and from the notebook's own 'Assumptions That CANNOT Be Made Yet' and 'Questions for Future Pipeline Design' sections. They describe risk to any future work building on this data, not risks in the notebook's own (purely descriptive) execution.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200"/>
        <w:gridCol w:w="8000"/>
      </w:tblGrid>
      <w:tr>
        <w:tc>
          <w:tcPr>
            <w:tcW w:type="dxa" w:w="1200"/>
            <w:shd w:fill="1F3864" w:color="auto" w:val="clear"/>
            <w:tcMar>
              <w:top w:type="dxa" w:w="80"/>
              <w:left w:type="dxa" w:w="100"/>
              <w:bottom w:type="dxa" w:w="80"/>
              <w:right w:type="dxa" w:w="100"/>
            </w:tcMar>
          </w:tcPr>
          <w:p>
            <w:r>
              <w:rPr>
                <w:rFonts w:ascii="Calibri" w:cs="Calibri" w:eastAsia="Calibri" w:hAnsi="Calibri"/>
                <w:b/>
                <w:bCs/>
                <w:color w:val="FFFFFF"/>
                <w:sz w:val="20"/>
                <w:szCs w:val="20"/>
              </w:rPr>
              <w:t xml:space="preserve">ID</w:t>
            </w:r>
          </w:p>
        </w:tc>
        <w:tc>
          <w:tcPr>
            <w:tcW w:type="dxa" w:w="8000"/>
            <w:shd w:fill="1F3864" w:color="auto" w:val="clear"/>
            <w:tcMar>
              <w:top w:type="dxa" w:w="80"/>
              <w:left w:type="dxa" w:w="100"/>
              <w:bottom w:type="dxa" w:w="80"/>
              <w:right w:type="dxa" w:w="100"/>
            </w:tcMar>
          </w:tcPr>
          <w:p>
            <w:r>
              <w:rPr>
                <w:rFonts w:ascii="Calibri" w:cs="Calibri" w:eastAsia="Calibri" w:hAnsi="Calibri"/>
                <w:b/>
                <w:bCs/>
                <w:color w:val="FFFFFF"/>
                <w:sz w:val="20"/>
                <w:szCs w:val="20"/>
              </w:rPr>
              <w:t xml:space="preserve">Requirement</w:t>
            </w:r>
          </w:p>
        </w:tc>
      </w:tr>
      <w:tr>
        <w:tc>
          <w:tcPr>
            <w:tcW w:type="dxa" w:w="1200"/>
            <w:tcMar>
              <w:top w:type="dxa" w:w="80"/>
              <w:left w:type="dxa" w:w="100"/>
              <w:bottom w:type="dxa" w:w="80"/>
              <w:right w:type="dxa" w:w="100"/>
            </w:tcMar>
          </w:tcPr>
          <w:p>
            <w:r>
              <w:rPr>
                <w:rFonts w:ascii="Calibri" w:cs="Calibri" w:eastAsia="Calibri" w:hAnsi="Calibri"/>
                <w:b/>
                <w:bCs/>
                <w:sz w:val="20"/>
                <w:szCs w:val="20"/>
              </w:rPr>
              <w:t xml:space="preserve">RISK-1</w:t>
            </w:r>
          </w:p>
        </w:tc>
        <w:tc>
          <w:tcPr>
            <w:tcW w:type="dxa" w:w="8000"/>
            <w:tcMar>
              <w:top w:type="dxa" w:w="80"/>
              <w:left w:type="dxa" w:w="100"/>
              <w:bottom w:type="dxa" w:w="80"/>
              <w:right w:type="dxa" w:w="100"/>
            </w:tcMar>
          </w:tcPr>
          <w:p>
            <w:r>
              <w:rPr>
                <w:rFonts w:ascii="Calibri" w:cs="Calibri" w:eastAsia="Calibri" w:hAnsi="Calibri"/>
                <w:b w:val="false"/>
                <w:bCs w:val="false"/>
                <w:sz w:val="20"/>
                <w:szCs w:val="20"/>
              </w:rPr>
              <w:t xml:space="preserve">Chromosome-notation mismatch: Dataset A labels chromosomes purely numerically (including undocumented codes '23'–'26'), while Dataset B uses numeric labels plus 'X'/'Y'/'MT'. Any future process that joins, merges, or compares records by chromosome across files of these two kinds risks misalignment if this mismatch is not explicitly reconciled against an authoritative reference.</w:t>
            </w:r>
          </w:p>
        </w:tc>
      </w:tr>
      <w:tr>
        <w:tc>
          <w:tcPr>
            <w:tcW w:type="dxa" w:w="1200"/>
            <w:tcMar>
              <w:top w:type="dxa" w:w="80"/>
              <w:left w:type="dxa" w:w="100"/>
              <w:bottom w:type="dxa" w:w="80"/>
              <w:right w:type="dxa" w:w="100"/>
            </w:tcMar>
          </w:tcPr>
          <w:p>
            <w:r>
              <w:rPr>
                <w:rFonts w:ascii="Calibri" w:cs="Calibri" w:eastAsia="Calibri" w:hAnsi="Calibri"/>
                <w:b/>
                <w:bCs/>
                <w:sz w:val="20"/>
                <w:szCs w:val="20"/>
              </w:rPr>
              <w:t xml:space="preserve">RISK-2</w:t>
            </w:r>
          </w:p>
        </w:tc>
        <w:tc>
          <w:tcPr>
            <w:tcW w:type="dxa" w:w="8000"/>
            <w:tcMar>
              <w:top w:type="dxa" w:w="80"/>
              <w:left w:type="dxa" w:w="100"/>
              <w:bottom w:type="dxa" w:w="80"/>
              <w:right w:type="dxa" w:w="100"/>
            </w:tcMar>
          </w:tcPr>
          <w:p>
            <w:r>
              <w:rPr>
                <w:rFonts w:ascii="Calibri" w:cs="Calibri" w:eastAsia="Calibri" w:hAnsi="Calibri"/>
                <w:b w:val="false"/>
                <w:bCs w:val="false"/>
                <w:sz w:val="20"/>
                <w:szCs w:val="20"/>
              </w:rPr>
              <w:t xml:space="preserve">Undefined non-standard chromosome codes: Dataset A's codes '25' (36 rows) and '26' (263 rows), and to a lesser extent '23' (25,242 rows) and '24' (1,665 rows), are not defined within the file itself. Misinterpreting these codes without an authoritative source risks silently mislabeling sex-chromosome or mitochondrial data.</w:t>
            </w:r>
          </w:p>
        </w:tc>
      </w:tr>
      <w:tr>
        <w:tc>
          <w:tcPr>
            <w:tcW w:type="dxa" w:w="1200"/>
            <w:tcMar>
              <w:top w:type="dxa" w:w="80"/>
              <w:left w:type="dxa" w:w="100"/>
              <w:bottom w:type="dxa" w:w="80"/>
              <w:right w:type="dxa" w:w="100"/>
            </w:tcMar>
          </w:tcPr>
          <w:p>
            <w:r>
              <w:rPr>
                <w:rFonts w:ascii="Calibri" w:cs="Calibri" w:eastAsia="Calibri" w:hAnsi="Calibri"/>
                <w:b/>
                <w:bCs/>
                <w:sz w:val="20"/>
                <w:szCs w:val="20"/>
              </w:rPr>
              <w:t xml:space="preserve">RISK-3</w:t>
            </w:r>
          </w:p>
        </w:tc>
        <w:tc>
          <w:tcPr>
            <w:tcW w:type="dxa" w:w="8000"/>
            <w:tcMar>
              <w:top w:type="dxa" w:w="80"/>
              <w:left w:type="dxa" w:w="100"/>
              <w:bottom w:type="dxa" w:w="80"/>
              <w:right w:type="dxa" w:w="100"/>
            </w:tcMar>
          </w:tcPr>
          <w:p>
            <w:r>
              <w:rPr>
                <w:rFonts w:ascii="Calibri" w:cs="Calibri" w:eastAsia="Calibri" w:hAnsi="Calibri"/>
                <w:b w:val="false"/>
                <w:bCs w:val="false"/>
                <w:sz w:val="20"/>
                <w:szCs w:val="20"/>
              </w:rPr>
              <w:t xml:space="preserve">Divergent missing/no-call token conventions: Dataset A encodes a literal '0' token (502 occurrences across its two allele columns) while Dataset B encodes a documented '--' no-call token (10,093 occurrences) plus single-character and indel tokens. A future process that hard-codes one file's convention risks silently failing to recognize missing data in the other.</w:t>
            </w:r>
          </w:p>
        </w:tc>
      </w:tr>
      <w:tr>
        <w:tc>
          <w:tcPr>
            <w:tcW w:type="dxa" w:w="1200"/>
            <w:tcMar>
              <w:top w:type="dxa" w:w="80"/>
              <w:left w:type="dxa" w:w="100"/>
              <w:bottom w:type="dxa" w:w="80"/>
              <w:right w:type="dxa" w:w="100"/>
            </w:tcMar>
          </w:tcPr>
          <w:p>
            <w:r>
              <w:rPr>
                <w:rFonts w:ascii="Calibri" w:cs="Calibri" w:eastAsia="Calibri" w:hAnsi="Calibri"/>
                <w:b/>
                <w:bCs/>
                <w:sz w:val="20"/>
                <w:szCs w:val="20"/>
              </w:rPr>
              <w:t xml:space="preserve">RISK-4</w:t>
            </w:r>
          </w:p>
        </w:tc>
        <w:tc>
          <w:tcPr>
            <w:tcW w:type="dxa" w:w="8000"/>
            <w:tcMar>
              <w:top w:type="dxa" w:w="80"/>
              <w:left w:type="dxa" w:w="100"/>
              <w:bottom w:type="dxa" w:w="80"/>
              <w:right w:type="dxa" w:w="100"/>
            </w:tcMar>
          </w:tcPr>
          <w:p>
            <w:r>
              <w:rPr>
                <w:rFonts w:ascii="Calibri" w:cs="Calibri" w:eastAsia="Calibri" w:hAnsi="Calibri"/>
                <w:b w:val="false"/>
                <w:bCs w:val="false"/>
                <w:sz w:val="20"/>
                <w:szCs w:val="20"/>
              </w:rPr>
              <w:t xml:space="preserve">Unexplained duplicate chromosome-position pairs: 614 duplicate (chromosome, position) pairs were observed in Dataset A and 2,401 in Dataset B, with no determination in the notebook of whether these reflect probe redesigns, multi-allelic sites, re-genotyping, or data artefacts. Treating these as errors, or as valid multi-allelic entries, without further investigation risks either discarding valid data or retaining erroneous data.</w:t>
            </w:r>
          </w:p>
        </w:tc>
      </w:tr>
      <w:tr>
        <w:tc>
          <w:tcPr>
            <w:tcW w:type="dxa" w:w="1200"/>
            <w:tcMar>
              <w:top w:type="dxa" w:w="80"/>
              <w:left w:type="dxa" w:w="100"/>
              <w:bottom w:type="dxa" w:w="80"/>
              <w:right w:type="dxa" w:w="100"/>
            </w:tcMar>
          </w:tcPr>
          <w:p>
            <w:r>
              <w:rPr>
                <w:rFonts w:ascii="Calibri" w:cs="Calibri" w:eastAsia="Calibri" w:hAnsi="Calibri"/>
                <w:b/>
                <w:bCs/>
                <w:sz w:val="20"/>
                <w:szCs w:val="20"/>
              </w:rPr>
              <w:t xml:space="preserve">RISK-5</w:t>
            </w:r>
          </w:p>
        </w:tc>
        <w:tc>
          <w:tcPr>
            <w:tcW w:type="dxa" w:w="8000"/>
            <w:tcMar>
              <w:top w:type="dxa" w:w="80"/>
              <w:left w:type="dxa" w:w="100"/>
              <w:bottom w:type="dxa" w:w="80"/>
              <w:right w:type="dxa" w:w="100"/>
            </w:tcMar>
          </w:tcPr>
          <w:p>
            <w:r>
              <w:rPr>
                <w:rFonts w:ascii="Calibri" w:cs="Calibri" w:eastAsia="Calibri" w:hAnsi="Calibri"/>
                <w:b w:val="false"/>
                <w:bCs w:val="false"/>
                <w:sz w:val="20"/>
                <w:szCs w:val="20"/>
              </w:rPr>
              <w:t xml:space="preserve">Genotype-encoding heterogeneity: Dataset A represents genotype as two single-character allele columns, while Dataset B represents genotype as a single column with variable length (1 or 2 characters) plus distinct indel tokens ('II', 'DD', 'DI'). Any future unification of these encodings carries a risk of information loss or misrepresentation if the haploid/diploid/indel distinctions documented in Dataset B are not preserved.</w:t>
            </w:r>
          </w:p>
        </w:tc>
      </w:tr>
      <w:tr>
        <w:tc>
          <w:tcPr>
            <w:tcW w:type="dxa" w:w="1200"/>
            <w:tcMar>
              <w:top w:type="dxa" w:w="80"/>
              <w:left w:type="dxa" w:w="100"/>
              <w:bottom w:type="dxa" w:w="80"/>
              <w:right w:type="dxa" w:w="100"/>
            </w:tcMar>
          </w:tcPr>
          <w:p>
            <w:r>
              <w:rPr>
                <w:rFonts w:ascii="Calibri" w:cs="Calibri" w:eastAsia="Calibri" w:hAnsi="Calibri"/>
                <w:b/>
                <w:bCs/>
                <w:sz w:val="20"/>
                <w:szCs w:val="20"/>
              </w:rPr>
              <w:t xml:space="preserve">RISK-6</w:t>
            </w:r>
          </w:p>
        </w:tc>
        <w:tc>
          <w:tcPr>
            <w:tcW w:type="dxa" w:w="8000"/>
            <w:tcMar>
              <w:top w:type="dxa" w:w="80"/>
              <w:left w:type="dxa" w:w="100"/>
              <w:bottom w:type="dxa" w:w="80"/>
              <w:right w:type="dxa" w:w="100"/>
            </w:tcMar>
          </w:tcPr>
          <w:p>
            <w:r>
              <w:rPr>
                <w:rFonts w:ascii="Calibri" w:cs="Calibri" w:eastAsia="Calibri" w:hAnsi="Calibri"/>
                <w:b w:val="false"/>
                <w:bCs w:val="false"/>
                <w:sz w:val="20"/>
                <w:szCs w:val="20"/>
              </w:rPr>
              <w:t xml:space="preserve">Unverified strand-orientation claims: both files' headers claim forward/plus-strand orientation, but the notebook explicitly performed no independent strand verification. Any future position-based operation that relies on strand consistency between the files carries a risk of silent error if this claim does not hold in practice.</w:t>
            </w:r>
          </w:p>
        </w:tc>
      </w:tr>
      <w:tr>
        <w:tc>
          <w:tcPr>
            <w:tcW w:type="dxa" w:w="1200"/>
            <w:tcMar>
              <w:top w:type="dxa" w:w="80"/>
              <w:left w:type="dxa" w:w="100"/>
              <w:bottom w:type="dxa" w:w="80"/>
              <w:right w:type="dxa" w:w="100"/>
            </w:tcMar>
          </w:tcPr>
          <w:p>
            <w:r>
              <w:rPr>
                <w:rFonts w:ascii="Calibri" w:cs="Calibri" w:eastAsia="Calibri" w:hAnsi="Calibri"/>
                <w:b/>
                <w:bCs/>
                <w:sz w:val="20"/>
                <w:szCs w:val="20"/>
              </w:rPr>
              <w:t xml:space="preserve">RISK-7</w:t>
            </w:r>
          </w:p>
        </w:tc>
        <w:tc>
          <w:tcPr>
            <w:tcW w:type="dxa" w:w="8000"/>
            <w:tcMar>
              <w:top w:type="dxa" w:w="80"/>
              <w:left w:type="dxa" w:w="100"/>
              <w:bottom w:type="dxa" w:w="80"/>
              <w:right w:type="dxa" w:w="100"/>
            </w:tcMar>
          </w:tcPr>
          <w:p>
            <w:r>
              <w:rPr>
                <w:rFonts w:ascii="Calibri" w:cs="Calibri" w:eastAsia="Calibri" w:hAnsi="Calibri"/>
                <w:b w:val="false"/>
                <w:bCs w:val="false"/>
                <w:sz w:val="20"/>
                <w:szCs w:val="20"/>
              </w:rPr>
              <w:t xml:space="preserve">Non-ASCII content in Dataset B: Dataset B was observed not to be fully decodable as pure ASCII (unlike Dataset A), while still being decodable as UTF-8, UTF-8-sig, and Latin-1. The source and location of this non-ASCII content was not identified in the notebook and warrants further investigation before any text-processing logic assumes uniform character encoding across both files.</w:t>
            </w:r>
          </w:p>
        </w:tc>
      </w:tr>
      <w:tr>
        <w:tc>
          <w:tcPr>
            <w:tcW w:type="dxa" w:w="1200"/>
            <w:tcMar>
              <w:top w:type="dxa" w:w="80"/>
              <w:left w:type="dxa" w:w="100"/>
              <w:bottom w:type="dxa" w:w="80"/>
              <w:right w:type="dxa" w:w="100"/>
            </w:tcMar>
          </w:tcPr>
          <w:p>
            <w:r>
              <w:rPr>
                <w:rFonts w:ascii="Calibri" w:cs="Calibri" w:eastAsia="Calibri" w:hAnsi="Calibri"/>
                <w:b/>
                <w:bCs/>
                <w:sz w:val="20"/>
                <w:szCs w:val="20"/>
              </w:rPr>
              <w:t xml:space="preserve">RISK-8</w:t>
            </w:r>
          </w:p>
        </w:tc>
        <w:tc>
          <w:tcPr>
            <w:tcW w:type="dxa" w:w="8000"/>
            <w:tcMar>
              <w:top w:type="dxa" w:w="80"/>
              <w:left w:type="dxa" w:w="100"/>
              <w:bottom w:type="dxa" w:w="80"/>
              <w:right w:type="dxa" w:w="100"/>
            </w:tcMar>
          </w:tcPr>
          <w:p>
            <w:r>
              <w:rPr>
                <w:rFonts w:ascii="Calibri" w:cs="Calibri" w:eastAsia="Calibri" w:hAnsi="Calibri"/>
                <w:b w:val="false"/>
                <w:bCs w:val="false"/>
                <w:sz w:val="20"/>
                <w:szCs w:val="20"/>
              </w:rPr>
              <w:t xml:space="preserve">Sensitive personal data: Dataset B's own header explicitly states that a genotype profile is intrinsically personal and can in principle be re-identified even with direct identifiers removed, and that it should be treated as sensitive data under an applicable data-use agreement. Any future system component handling files of this kind inherits a data-protection risk that must be addressed by a dedicated, future security/privacy design, not assumed away here.</w:t>
            </w:r>
          </w:p>
        </w:tc>
      </w:tr>
      <w:tr>
        <w:tc>
          <w:tcPr>
            <w:tcW w:type="dxa" w:w="1200"/>
            <w:tcMar>
              <w:top w:type="dxa" w:w="80"/>
              <w:left w:type="dxa" w:w="100"/>
              <w:bottom w:type="dxa" w:w="80"/>
              <w:right w:type="dxa" w:w="100"/>
            </w:tcMar>
          </w:tcPr>
          <w:p>
            <w:r>
              <w:rPr>
                <w:rFonts w:ascii="Calibri" w:cs="Calibri" w:eastAsia="Calibri" w:hAnsi="Calibri"/>
                <w:b/>
                <w:bCs/>
                <w:sz w:val="20"/>
                <w:szCs w:val="20"/>
              </w:rPr>
              <w:t xml:space="preserve">RISK-9</w:t>
            </w:r>
          </w:p>
        </w:tc>
        <w:tc>
          <w:tcPr>
            <w:tcW w:type="dxa" w:w="8000"/>
            <w:tcMar>
              <w:top w:type="dxa" w:w="80"/>
              <w:left w:type="dxa" w:w="100"/>
              <w:bottom w:type="dxa" w:w="80"/>
              <w:right w:type="dxa" w:w="100"/>
            </w:tcMar>
          </w:tcPr>
          <w:p>
            <w:r>
              <w:rPr>
                <w:rFonts w:ascii="Calibri" w:cs="Calibri" w:eastAsia="Calibri" w:hAnsi="Calibri"/>
                <w:b w:val="false"/>
                <w:bCs w:val="false"/>
                <w:sz w:val="20"/>
                <w:szCs w:val="20"/>
              </w:rPr>
              <w:t xml:space="preserve">Platform-internal identifiers: Dataset B contains platform-internal 'i...' identifiers alongside standard dbSNP 'rs...' identifiers. A future process that assumes all RSID-column values are standard dbSNP identifiers risks mishandling or misinterpreting the platform-internal subset.</w:t>
            </w:r>
          </w:p>
        </w:tc>
      </w:tr>
    </w:tbl>
    <w:p>
      <w:pPr>
        <w:pStyle w:val="Heading1"/>
        <w:spacing w:after="160" w:before="360"/>
      </w:pPr>
      <w:r>
        <w:t xml:space="preserve">11. Out-of-Scope Items</w:t>
      </w:r>
    </w:p>
    <w:p>
      <w:pPr>
        <w:spacing w:after="160"/>
        <w:jc w:val="both"/>
      </w:pPr>
      <w:r>
        <w:rPr>
          <w:rFonts w:ascii="Calibri" w:cs="Calibri" w:eastAsia="Calibri" w:hAnsi="Calibri"/>
          <w:sz w:val="22"/>
          <w:szCs w:val="22"/>
        </w:rPr>
        <w:t xml:space="preserve">The following are explicitly out of scope for this SRS. Each corresponds to an activity the notebook explicitly did not perform and, in most cases, explicitly identifies as a decision for a later, separate phase of the project (notebook Sections 7.2–7.3). None of these should be inferred as implicitly authorized by any requirement in Sections 4–7 above.</w:t>
      </w:r>
    </w:p>
    <w:p>
      <w:pPr>
        <w:pStyle w:val="ListParagraph"/>
        <w:numPr>
          <w:ilvl w:val="0"/>
          <w:numId w:val="1"/>
        </w:numPr>
        <w:spacing w:after="100"/>
      </w:pPr>
      <w:r>
        <w:t xml:space="preserve">Biological, medical, ancestry-related, or phenotype interpretation of any genotype data, including any phenotype-prediction modeling implied by the project name.</w:t>
      </w:r>
    </w:p>
    <w:p>
      <w:pPr>
        <w:pStyle w:val="ListParagraph"/>
        <w:numPr>
          <w:ilvl w:val="0"/>
          <w:numId w:val="1"/>
        </w:numPr>
        <w:spacing w:after="100"/>
      </w:pPr>
      <w:r>
        <w:t xml:space="preserve">Cross-dataset comparison, concordance analysis, or record-level matching between Dataset A and Dataset B (or files like them).</w:t>
      </w:r>
    </w:p>
    <w:p>
      <w:pPr>
        <w:pStyle w:val="ListParagraph"/>
        <w:numPr>
          <w:ilvl w:val="0"/>
          <w:numId w:val="1"/>
        </w:numPr>
        <w:spacing w:after="100"/>
      </w:pPr>
      <w:r>
        <w:t xml:space="preserve">Reconciliation or remapping of chromosome notations between differing labelling conventions (e.g. numeric-only versus numeric-plus-alphabetic, or resolution of Dataset A's undocumented numeric codes).</w:t>
      </w:r>
    </w:p>
    <w:p>
      <w:pPr>
        <w:pStyle w:val="ListParagraph"/>
        <w:numPr>
          <w:ilvl w:val="0"/>
          <w:numId w:val="1"/>
        </w:numPr>
        <w:spacing w:after="100"/>
      </w:pPr>
      <w:r>
        <w:t xml:space="preserve">Strand verification or strand correction of any kind.</w:t>
      </w:r>
    </w:p>
    <w:p>
      <w:pPr>
        <w:pStyle w:val="ListParagraph"/>
        <w:numPr>
          <w:ilvl w:val="0"/>
          <w:numId w:val="1"/>
        </w:numPr>
        <w:spacing w:after="100"/>
      </w:pPr>
      <w:r>
        <w:t xml:space="preserve">Definition or implementation of a missing/no-call value handling policy (e.g. exclusion, imputation, or explicit-missingness flagging); the notebook only observed and counted such tokens, and left the handling policy as an open question.</w:t>
      </w:r>
    </w:p>
    <w:p>
      <w:pPr>
        <w:pStyle w:val="ListParagraph"/>
        <w:numPr>
          <w:ilvl w:val="0"/>
          <w:numId w:val="1"/>
        </w:numPr>
        <w:spacing w:after="100"/>
      </w:pPr>
      <w:r>
        <w:t xml:space="preserve">Unification of differing genotype-encoding layouts (two-column allele pairs versus single-column genotype strings, including haploid/indel variants) into a common representation.</w:t>
      </w:r>
    </w:p>
    <w:p>
      <w:pPr>
        <w:pStyle w:val="ListParagraph"/>
        <w:numPr>
          <w:ilvl w:val="0"/>
          <w:numId w:val="1"/>
        </w:numPr>
        <w:spacing w:after="100"/>
      </w:pPr>
      <w:r>
        <w:t xml:space="preserve">Investigation or resolution of duplicate RSIDs or duplicate chromosome-position pairs beyond detection and reporting of their existence and counts.</w:t>
      </w:r>
    </w:p>
    <w:p>
      <w:pPr>
        <w:pStyle w:val="ListParagraph"/>
        <w:numPr>
          <w:ilvl w:val="0"/>
          <w:numId w:val="1"/>
        </w:numPr>
        <w:spacing w:after="100"/>
      </w:pPr>
      <w:r>
        <w:t xml:space="preserve">Any data cleaning, normalization, transformation, deduplication, or correction of source files.</w:t>
      </w:r>
    </w:p>
    <w:p>
      <w:pPr>
        <w:pStyle w:val="ListParagraph"/>
        <w:numPr>
          <w:ilvl w:val="0"/>
          <w:numId w:val="1"/>
        </w:numPr>
        <w:spacing w:after="100"/>
      </w:pPr>
      <w:r>
        <w:t xml:space="preserve">Verification of array/chip version or genome-build compatibility claims against external documentation.</w:t>
      </w:r>
    </w:p>
    <w:p>
      <w:pPr>
        <w:pStyle w:val="ListParagraph"/>
        <w:numPr>
          <w:ilvl w:val="0"/>
          <w:numId w:val="1"/>
        </w:numPr>
        <w:spacing w:after="100"/>
      </w:pPr>
      <w:r>
        <w:t xml:space="preserve">Specification of concrete implementation technology, storage format, architecture, or deployment environment for the system described in this SRS.</w:t>
      </w:r>
    </w:p>
    <w:p>
      <w:pPr>
        <w:spacing w:before="300"/>
      </w:pPr>
    </w:p>
    <w:p>
      <w:pPr>
        <w:pStyle w:val="Heading2"/>
        <w:spacing w:after="120" w:before="240"/>
      </w:pPr>
      <w:r>
        <w:t xml:space="preserve">Document Note</w:t>
      </w:r>
    </w:p>
    <w:p>
      <w:pPr>
        <w:spacing w:after="160"/>
        <w:jc w:val="both"/>
      </w:pPr>
      <w:r>
        <w:rPr>
          <w:rFonts w:ascii="Calibri" w:cs="Calibri" w:eastAsia="Calibri" w:hAnsi="Calibri"/>
          <w:i/>
          <w:iCs/>
          <w:color w:val="555555"/>
          <w:sz w:val="20"/>
          <w:szCs w:val="20"/>
        </w:rPr>
        <w:t xml:space="preserve">This SRS was derived exclusively from </w:t>
      </w:r>
      <w:r>
        <w:rPr>
          <w:rFonts w:ascii="Calibri" w:cs="Calibri" w:eastAsia="Calibri" w:hAnsi="Calibri"/>
          <w:i/>
          <w:iCs/>
          <w:color w:val="555555"/>
          <w:sz w:val="20"/>
          <w:szCs w:val="20"/>
        </w:rPr>
        <w:t xml:space="preserve">01_dataset_exploration.ipynb</w:t>
      </w:r>
      <w:r>
        <w:rPr>
          <w:rFonts w:ascii="Calibri" w:cs="Calibri" w:eastAsia="Calibri" w:hAnsi="Calibri"/>
          <w:i/>
          <w:iCs/>
          <w:color w:val="555555"/>
          <w:sz w:val="20"/>
          <w:szCs w:val="20"/>
        </w:rPr>
        <w:t xml:space="preserve">. Wherever the notebook left a question unresolved, this document has preserved that as an open item requiring future validation rather than introducing a new assumption. No biological premises, cross-dataset equivalences, or implementation-level architectural decisions have been added beyond what the notebook itself records.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6"/>
        <w:szCs w:val="16"/>
      </w:rPr>
      <w:t xml:space="preserve">Page </w:t>
    </w:r>
    <w:r>
      <w:rPr>
        <w:rFonts w:ascii="Calibri" w:cs="Calibri" w:eastAsia="Calibri" w:hAnsi="Calibri"/>
        <w:color w:val="666666"/>
        <w:sz w:val="16"/>
        <w:szCs w:val="16"/>
      </w:rPr>
      <w:fldChar w:fldCharType="begin"/>
      <w:instrText xml:space="preserve">PAGE</w:instrText>
      <w:fldChar w:fldCharType="separate"/>
      <w:fldChar w:fldCharType="end"/>
    </w:r>
    <w:r>
      <w:rPr>
        <w:rFonts w:ascii="Calibri" w:cs="Calibri" w:eastAsia="Calibri" w:hAnsi="Calibri"/>
        <w:color w:val="666666"/>
        <w:sz w:val="16"/>
        <w:szCs w:val="16"/>
      </w:rPr>
      <w:t xml:space="preserve"> of </w:t>
    </w:r>
    <w:r>
      <w:rPr>
        <w:rFonts w:ascii="Calibri" w:cs="Calibri" w:eastAsia="Calibri" w:hAnsi="Calibri"/>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66666"/>
        <w:sz w:val="16"/>
        <w:szCs w:val="16"/>
      </w:rPr>
      <w:t xml:space="preserve">PhenoPred — Software Requirements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20" w:before="240"/>
      <w:outlineLvl w:val="1"/>
    </w:pPr>
    <w:rPr>
      <w:rFonts w:ascii="Calibri" w:cs="Calibri" w:eastAsia="Calibri" w:hAnsi="Calibri"/>
      <w:b/>
      <w:bCs/>
      <w:color w:val="2E549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2026-07-04T13:30:01.478Z</dcterms:created>
  <dcterms:modified xsi:type="dcterms:W3CDTF">2026-07-04T13:30:01.478Z</dcterms:modified>
</cp:coreProperties>
</file>

<file path=docProps/custom.xml><?xml version="1.0" encoding="utf-8"?>
<Properties xmlns="http://schemas.openxmlformats.org/officeDocument/2006/custom-properties" xmlns:vt="http://schemas.openxmlformats.org/officeDocument/2006/docPropsVTypes"/>
</file>