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ee82ee"/>
          <w:sz w:val="24"/>
          <w:szCs w:val="24"/>
          <w:highlight w:val="white"/>
          <w:rtl w:val="0"/>
        </w:rPr>
        <w:t xml:space="preserve">Q1: Calculate the total billing amount for emergency and elective admissions for each medical condition. Show only those medical conditions where emergency billing is less than elective billing.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ee82ee"/>
          <w:sz w:val="24"/>
          <w:szCs w:val="24"/>
          <w:highlight w:val="white"/>
          <w:rtl w:val="0"/>
        </w:rPr>
        <w:t xml:space="preserve">Q2: For hospital management at Apollo, determine the total number of patients per Hospital and categorize them as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"High Volume" if the count is 5 or more, 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"Low Volume" if less than 5, to identify facilities needing additional staffing support.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5151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ee82ee"/>
          <w:sz w:val="24"/>
          <w:szCs w:val="24"/>
          <w:highlight w:val="white"/>
          <w:rtl w:val="0"/>
        </w:rPr>
        <w:t xml:space="preserve">Q3: For clinical researchers at Apollo, calculate the number of patients per Doctor and categorize them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as "Specialist Overload" if the count is 5 or more and the doctor’s name contains 'Brown' or 'Garza', "General Monitor"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if the count is between 1 to 5 and the doctor’s name contains 'Bauer' or 'Clark', or "Support Needed"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otherwise, to assess doctor specialization trends for research funding allocation.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ee82ee"/>
          <w:sz w:val="24"/>
          <w:szCs w:val="24"/>
          <w:highlight w:val="white"/>
          <w:rtl w:val="0"/>
        </w:rPr>
        <w:t xml:space="preserve">Q4: For patient care coordinators at Apollo, calculate the number of patients per Hospital based on Admission_Type and categorize them 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"Intensive Care Focus" if the count exceeds 2 and the admission type is "Emergency",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"Routine Care Hub" if the count is between 1 and 4 and the admission type is "Elective", or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"Support Unit" otherwise,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515151"/>
          <w:sz w:val="24"/>
          <w:szCs w:val="24"/>
          <w:highlight w:val="white"/>
          <w:rtl w:val="0"/>
        </w:rPr>
        <w:t xml:space="preserve">with a focus on hospitals handling at least 3 unique Blood_Type cases, to optimize staffing and care protocols.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ee82e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15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15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515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