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Sistema de administración y venta de productos para pequeñas empresas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Duoc uc</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en software</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en software</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cumplen los objetivos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Faltan pequeños detalles</w:t>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el tiempo que se le dedica a cada requerimiento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D">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E">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XxftoFxGQdvN1QDjiPwYLpb/A==">CgMxLjA4AHIhMXdkLTA3N0Z3cjdFWnB3N0Zxdkh0MjFQcEN0ZDlRd1Bj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2020-03-23T02:07:00Z</dcterms:created>
  <dc:creator>admin</dc:creator>
</cp:coreProperties>
</file>