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맑은 고딕" w:hAnsi="맑은 고딕" w:eastAsia="맑은 고딕"/>
        </w:rPr>
        <w:t>1. 사업화 제품(서비스)화 목표 및 계획</w:t>
      </w:r>
    </w:p>
    <w:p>
      <w:pPr>
        <w:pStyle w:val="Heading2"/>
        <w:jc w:val="left"/>
      </w:pPr>
      <w:r>
        <w:rPr>
          <w:rFonts w:ascii="맑은 고딕" w:hAnsi="맑은 고딕" w:eastAsia="맑은 고딕"/>
        </w:rPr>
        <w:t>1.1 사업화 비전</w:t>
      </w:r>
    </w:p>
    <w:p>
      <w:pPr>
        <w:spacing w:after="120" w:line="360" w:lineRule="auto"/>
      </w:pPr>
      <w:r>
        <w:rPr>
          <w:rFonts w:ascii="맑은 고딕" w:hAnsi="맑은 고딕" w:eastAsia="맑은 고딕"/>
          <w:sz w:val="22"/>
        </w:rPr>
        <w:t>본 사업의 궁극적 비전은 "빠르게 발전하는 AI 환경에서 소외된 소상공인을 위한, 산업별 현장 최적화 AI 고객관리 에이전트"를 공급하는 데 있다. 초거대 언어모델(LLM)과 생성형 AI의 발전에 따라 대기업·중견기업은 AI 역량을 내재화하거나 전문 솔루션을 도입하여 마케팅·고객관리의 디지털 전환을 가속화하고 있는 반면, 국내 소상공인은 기술 접근성·비용·운영 역량의 삼중 장벽으로 인해 AI 활용에서 구조적으로 소외되고 있다. 본 사업은 이러한 AI 격차(AI Divide)를 해소하기 위해 각 산업의 현장 특성에 최적화된 버티컬 AI 에이전트를 연쇄적으로 공급함으로써, 소상공인이 대기업 수준의 고객관리 역량을 확보할 수 있도록 한다.</w:t>
      </w:r>
    </w:p>
    <w:p>
      <w:pPr>
        <w:pStyle w:val="Heading2"/>
        <w:jc w:val="left"/>
      </w:pPr>
      <w:r>
        <w:rPr>
          <w:rFonts w:ascii="맑은 고딕" w:hAnsi="맑은 고딕" w:eastAsia="맑은 고딕"/>
        </w:rPr>
        <w:t>1.2 제품 개요</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맑은 고딕" w:hAnsi="맑은 고딕" w:eastAsia="맑은 고딕"/>
                <w:b/>
                <w:sz w:val="20"/>
              </w:rPr>
              <w:t>항목</w:t>
            </w:r>
          </w:p>
        </w:tc>
        <w:tc>
          <w:tcPr>
            <w:tcW w:type="dxa" w:w="4703"/>
          </w:tcPr>
          <w:p>
            <w:r>
              <w:rPr>
                <w:rFonts w:ascii="맑은 고딕" w:hAnsi="맑은 고딕" w:eastAsia="맑은 고딕"/>
                <w:b/>
                <w:sz w:val="20"/>
              </w:rPr>
              <w:t>내용</w:t>
            </w:r>
          </w:p>
        </w:tc>
      </w:tr>
      <w:tr>
        <w:tc>
          <w:tcPr>
            <w:tcW w:type="dxa" w:w="4703"/>
          </w:tcPr>
          <w:p>
            <w:r>
              <w:rPr>
                <w:rFonts w:ascii="맑은 고딕" w:hAnsi="맑은 고딕" w:eastAsia="맑은 고딕"/>
                <w:sz w:val="20"/>
              </w:rPr>
              <w:t>제품명(가칭)</w:t>
            </w:r>
          </w:p>
        </w:tc>
        <w:tc>
          <w:tcPr>
            <w:tcW w:type="dxa" w:w="4703"/>
          </w:tcPr>
          <w:p>
            <w:r>
              <w:rPr>
                <w:rFonts w:ascii="맑은 고딕" w:hAnsi="맑은 고딕" w:eastAsia="맑은 고딕"/>
                <w:sz w:val="20"/>
              </w:rPr>
              <w:t>정육점 특화 AI 고객관리 에이전트</w:t>
            </w:r>
          </w:p>
        </w:tc>
      </w:tr>
      <w:tr>
        <w:tc>
          <w:tcPr>
            <w:tcW w:type="dxa" w:w="4703"/>
          </w:tcPr>
          <w:p>
            <w:r>
              <w:rPr>
                <w:rFonts w:ascii="맑은 고딕" w:hAnsi="맑은 고딕" w:eastAsia="맑은 고딕"/>
                <w:sz w:val="20"/>
              </w:rPr>
              <w:t>제품 형태</w:t>
            </w:r>
          </w:p>
        </w:tc>
        <w:tc>
          <w:tcPr>
            <w:tcW w:type="dxa" w:w="4703"/>
          </w:tcPr>
          <w:p>
            <w:r>
              <w:rPr>
                <w:rFonts w:ascii="맑은 고딕" w:hAnsi="맑은 고딕" w:eastAsia="맑은 고딕"/>
                <w:sz w:val="20"/>
              </w:rPr>
              <w:t>클라우드 기반 SaaS + POS 연동 모듈</w:t>
            </w:r>
          </w:p>
        </w:tc>
      </w:tr>
      <w:tr>
        <w:tc>
          <w:tcPr>
            <w:tcW w:type="dxa" w:w="4703"/>
          </w:tcPr>
          <w:p>
            <w:r>
              <w:rPr>
                <w:rFonts w:ascii="맑은 고딕" w:hAnsi="맑은 고딕" w:eastAsia="맑은 고딕"/>
                <w:sz w:val="20"/>
              </w:rPr>
              <w:t>핵심 가치 제안</w:t>
            </w:r>
          </w:p>
        </w:tc>
        <w:tc>
          <w:tcPr>
            <w:tcW w:type="dxa" w:w="4703"/>
          </w:tcPr>
          <w:p>
            <w:r>
              <w:rPr>
                <w:rFonts w:ascii="맑은 고딕" w:hAnsi="맑은 고딕" w:eastAsia="맑은 고딕"/>
                <w:sz w:val="20"/>
              </w:rPr>
              <w:t>"사장님 대신 고객을 기억하고, 매출로 이어지는 문자를 자동 발송하는 AI 점원"</w:t>
            </w:r>
          </w:p>
        </w:tc>
      </w:tr>
      <w:tr>
        <w:tc>
          <w:tcPr>
            <w:tcW w:type="dxa" w:w="4703"/>
          </w:tcPr>
          <w:p>
            <w:r>
              <w:rPr>
                <w:rFonts w:ascii="맑은 고딕" w:hAnsi="맑은 고딕" w:eastAsia="맑은 고딕"/>
                <w:sz w:val="20"/>
              </w:rPr>
              <w:t>주요 사용자</w:t>
            </w:r>
          </w:p>
        </w:tc>
        <w:tc>
          <w:tcPr>
            <w:tcW w:type="dxa" w:w="4703"/>
          </w:tcPr>
          <w:p>
            <w:r>
              <w:rPr>
                <w:rFonts w:ascii="맑은 고딕" w:hAnsi="맑은 고딕" w:eastAsia="맑은 고딕"/>
                <w:sz w:val="20"/>
              </w:rPr>
              <w:t>50~60대 정육점 사장님 (디지털 취약계층 포함)</w:t>
            </w:r>
          </w:p>
        </w:tc>
      </w:tr>
    </w:tbl>
    <w:p/>
    <w:p>
      <w:pPr>
        <w:pStyle w:val="Heading2"/>
        <w:jc w:val="left"/>
      </w:pPr>
      <w:r>
        <w:rPr>
          <w:rFonts w:ascii="맑은 고딕" w:hAnsi="맑은 고딕" w:eastAsia="맑은 고딕"/>
        </w:rPr>
        <w:t>1.3 핵심 기능</w:t>
      </w:r>
    </w:p>
    <w:p>
      <w:pPr>
        <w:spacing w:after="120" w:line="360" w:lineRule="auto"/>
        <w:ind w:left="283"/>
      </w:pPr>
      <w:r>
        <w:rPr>
          <w:rFonts w:ascii="맑은 고딕" w:hAnsi="맑은 고딕" w:eastAsia="맑은 고딕"/>
          <w:sz w:val="22"/>
        </w:rPr>
        <w:t>① AI 이탈 예측 엔진: POS 데이터 기반 RF1/RF2 이중 모델이 고객별 이탈 위험도를 자동 산출</w:t>
      </w:r>
    </w:p>
    <w:p>
      <w:pPr>
        <w:spacing w:after="120" w:line="360" w:lineRule="auto"/>
        <w:ind w:left="283"/>
      </w:pPr>
      <w:r>
        <w:rPr>
          <w:rFonts w:ascii="맑은 고딕" w:hAnsi="맑은 고딕" w:eastAsia="맑은 고딕"/>
          <w:sz w:val="22"/>
        </w:rPr>
        <w:t>② LLM 개인화 문자 생성: 고객의 구매 이력·방문 주기·선호 부위를 반영한 맞춤형 문자를 자동 작성</w:t>
      </w:r>
    </w:p>
    <w:p>
      <w:pPr>
        <w:spacing w:after="120" w:line="360" w:lineRule="auto"/>
        <w:ind w:left="283"/>
      </w:pPr>
      <w:r>
        <w:rPr>
          <w:rFonts w:ascii="맑은 고딕" w:hAnsi="맑은 고딕" w:eastAsia="맑은 고딕"/>
          <w:sz w:val="22"/>
        </w:rPr>
        <w:t>③ 자동 발송 및 반응 추적: 최적 타이밍에 문자 자동 발송 후 재방문·재구매 반응을 추적하여 성과 가시화</w:t>
      </w:r>
    </w:p>
    <w:p>
      <w:pPr>
        <w:spacing w:after="120" w:line="360" w:lineRule="auto"/>
        <w:ind w:left="283"/>
      </w:pPr>
      <w:r>
        <w:rPr>
          <w:rFonts w:ascii="맑은 고딕" w:hAnsi="맑은 고딕" w:eastAsia="맑은 고딕"/>
          <w:sz w:val="22"/>
        </w:rPr>
        <w:t>④ 월 1회 자동 재학습: 매장별 데이터로 모델이 지속적으로 개선되는 자가 학습 시스템</w:t>
      </w:r>
    </w:p>
    <w:p>
      <w:pPr>
        <w:pStyle w:val="Heading2"/>
        <w:jc w:val="left"/>
      </w:pPr>
      <w:r>
        <w:rPr>
          <w:rFonts w:ascii="맑은 고딕" w:hAnsi="맑은 고딕" w:eastAsia="맑은 고딕"/>
        </w:rPr>
        <w:t>1.4 단계별 제품화 로드맵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맑은 고딕" w:hAnsi="맑은 고딕" w:eastAsia="맑은 고딕"/>
                <w:b/>
                <w:sz w:val="20"/>
              </w:rPr>
              <w:t>단계</w:t>
            </w:r>
          </w:p>
        </w:tc>
        <w:tc>
          <w:tcPr>
            <w:tcW w:type="dxa" w:w="2351"/>
          </w:tcPr>
          <w:p>
            <w:r>
              <w:rPr>
                <w:rFonts w:ascii="맑은 고딕" w:hAnsi="맑은 고딕" w:eastAsia="맑은 고딕"/>
                <w:b/>
                <w:sz w:val="20"/>
              </w:rPr>
              <w:t>기간</w:t>
            </w:r>
          </w:p>
        </w:tc>
        <w:tc>
          <w:tcPr>
            <w:tcW w:type="dxa" w:w="2351"/>
          </w:tcPr>
          <w:p>
            <w:r>
              <w:rPr>
                <w:rFonts w:ascii="맑은 고딕" w:hAnsi="맑은 고딕" w:eastAsia="맑은 고딕"/>
                <w:b/>
                <w:sz w:val="20"/>
              </w:rPr>
              <w:t>목표</w:t>
            </w:r>
          </w:p>
        </w:tc>
        <w:tc>
          <w:tcPr>
            <w:tcW w:type="dxa" w:w="2351"/>
          </w:tcPr>
          <w:p>
            <w:r>
              <w:rPr>
                <w:rFonts w:ascii="맑은 고딕" w:hAnsi="맑은 고딕" w:eastAsia="맑은 고딕"/>
                <w:b/>
                <w:sz w:val="20"/>
              </w:rPr>
              <w:t>핵심 마일스톤</w:t>
            </w:r>
          </w:p>
        </w:tc>
      </w:tr>
      <w:tr>
        <w:tc>
          <w:tcPr>
            <w:tcW w:type="dxa" w:w="2351"/>
          </w:tcPr>
          <w:p>
            <w:r>
              <w:rPr>
                <w:rFonts w:ascii="맑은 고딕" w:hAnsi="맑은 고딕" w:eastAsia="맑은 고딕"/>
                <w:sz w:val="20"/>
              </w:rPr>
              <w:t>1단계</w:t>
            </w:r>
          </w:p>
        </w:tc>
        <w:tc>
          <w:tcPr>
            <w:tcW w:type="dxa" w:w="2351"/>
          </w:tcPr>
          <w:p>
            <w:r>
              <w:rPr>
                <w:rFonts w:ascii="맑은 고딕" w:hAnsi="맑은 고딕" w:eastAsia="맑은 고딕"/>
                <w:sz w:val="20"/>
              </w:rPr>
              <w:t>26.7~27.10</w:t>
            </w:r>
          </w:p>
        </w:tc>
        <w:tc>
          <w:tcPr>
            <w:tcW w:type="dxa" w:w="2351"/>
          </w:tcPr>
          <w:p>
            <w:r>
              <w:rPr>
                <w:rFonts w:ascii="맑은 고딕" w:hAnsi="맑은 고딕" w:eastAsia="맑은 고딕"/>
                <w:sz w:val="20"/>
              </w:rPr>
              <w:t>핵심 AI 엔진 개발 및 RCT 검증</w:t>
            </w:r>
          </w:p>
        </w:tc>
        <w:tc>
          <w:tcPr>
            <w:tcW w:type="dxa" w:w="2351"/>
          </w:tcPr>
          <w:p>
            <w:r>
              <w:rPr>
                <w:rFonts w:ascii="맑은 고딕" w:hAnsi="맑은 고딕" w:eastAsia="맑은 고딕"/>
                <w:sz w:val="20"/>
              </w:rPr>
              <w:t>35개 매장 파일럿, 논문 5편·특허 5건</w:t>
            </w:r>
          </w:p>
        </w:tc>
      </w:tr>
      <w:tr>
        <w:tc>
          <w:tcPr>
            <w:tcW w:type="dxa" w:w="2351"/>
          </w:tcPr>
          <w:p>
            <w:r>
              <w:rPr>
                <w:rFonts w:ascii="맑은 고딕" w:hAnsi="맑은 고딕" w:eastAsia="맑은 고딕"/>
                <w:sz w:val="20"/>
              </w:rPr>
              <w:t>2단계</w:t>
            </w:r>
          </w:p>
        </w:tc>
        <w:tc>
          <w:tcPr>
            <w:tcW w:type="dxa" w:w="2351"/>
          </w:tcPr>
          <w:p>
            <w:r>
              <w:rPr>
                <w:rFonts w:ascii="맑은 고딕" w:hAnsi="맑은 고딕" w:eastAsia="맑은 고딕"/>
                <w:sz w:val="20"/>
              </w:rPr>
              <w:t>27.11~28.12</w:t>
            </w:r>
          </w:p>
        </w:tc>
        <w:tc>
          <w:tcPr>
            <w:tcW w:type="dxa" w:w="2351"/>
          </w:tcPr>
          <w:p>
            <w:r>
              <w:rPr>
                <w:rFonts w:ascii="맑은 고딕" w:hAnsi="맑은 고딕" w:eastAsia="맑은 고딕"/>
                <w:sz w:val="20"/>
              </w:rPr>
              <w:t>MVP→정식 제품 출시</w:t>
            </w:r>
          </w:p>
        </w:tc>
        <w:tc>
          <w:tcPr>
            <w:tcW w:type="dxa" w:w="2351"/>
          </w:tcPr>
          <w:p>
            <w:r>
              <w:rPr>
                <w:rFonts w:ascii="맑은 고딕" w:hAnsi="맑은 고딕" w:eastAsia="맑은 고딕"/>
                <w:sz w:val="20"/>
              </w:rPr>
              <w:t>유료 고객 300개 매장, ARR 5억 원</w:t>
            </w:r>
          </w:p>
        </w:tc>
      </w:tr>
      <w:tr>
        <w:tc>
          <w:tcPr>
            <w:tcW w:type="dxa" w:w="2351"/>
          </w:tcPr>
          <w:p>
            <w:r>
              <w:rPr>
                <w:rFonts w:ascii="맑은 고딕" w:hAnsi="맑은 고딕" w:eastAsia="맑은 고딕"/>
                <w:sz w:val="20"/>
              </w:rPr>
              <w:t>3단계</w:t>
            </w:r>
          </w:p>
        </w:tc>
        <w:tc>
          <w:tcPr>
            <w:tcW w:type="dxa" w:w="2351"/>
          </w:tcPr>
          <w:p>
            <w:r>
              <w:rPr>
                <w:rFonts w:ascii="맑은 고딕" w:hAnsi="맑은 고딕" w:eastAsia="맑은 고딕"/>
                <w:sz w:val="20"/>
              </w:rPr>
              <w:t>29.1~30.12</w:t>
            </w:r>
          </w:p>
        </w:tc>
        <w:tc>
          <w:tcPr>
            <w:tcW w:type="dxa" w:w="2351"/>
          </w:tcPr>
          <w:p>
            <w:r>
              <w:rPr>
                <w:rFonts w:ascii="맑은 고딕" w:hAnsi="맑은 고딕" w:eastAsia="맑은 고딕"/>
                <w:sz w:val="20"/>
              </w:rPr>
              <w:t>국내 정육점 시장 주도</w:t>
            </w:r>
          </w:p>
        </w:tc>
        <w:tc>
          <w:tcPr>
            <w:tcW w:type="dxa" w:w="2351"/>
          </w:tcPr>
          <w:p>
            <w:r>
              <w:rPr>
                <w:rFonts w:ascii="맑은 고딕" w:hAnsi="맑은 고딕" w:eastAsia="맑은 고딕"/>
                <w:sz w:val="20"/>
              </w:rPr>
              <w:t>누적 3,000개 매장, ARR 50억 원</w:t>
            </w:r>
          </w:p>
        </w:tc>
      </w:tr>
      <w:tr>
        <w:tc>
          <w:tcPr>
            <w:tcW w:type="dxa" w:w="2351"/>
          </w:tcPr>
          <w:p>
            <w:r>
              <w:rPr>
                <w:rFonts w:ascii="맑은 고딕" w:hAnsi="맑은 고딕" w:eastAsia="맑은 고딕"/>
                <w:sz w:val="20"/>
              </w:rPr>
              <w:t>4단계</w:t>
            </w:r>
          </w:p>
        </w:tc>
        <w:tc>
          <w:tcPr>
            <w:tcW w:type="dxa" w:w="2351"/>
          </w:tcPr>
          <w:p>
            <w:r>
              <w:rPr>
                <w:rFonts w:ascii="맑은 고딕" w:hAnsi="맑은 고딕" w:eastAsia="맑은 고딕"/>
                <w:sz w:val="20"/>
              </w:rPr>
              <w:t>31.1~</w:t>
            </w:r>
          </w:p>
        </w:tc>
        <w:tc>
          <w:tcPr>
            <w:tcW w:type="dxa" w:w="2351"/>
          </w:tcPr>
          <w:p>
            <w:r>
              <w:rPr>
                <w:rFonts w:ascii="맑은 고딕" w:hAnsi="맑은 고딕" w:eastAsia="맑은 고딕"/>
                <w:sz w:val="20"/>
              </w:rPr>
              <w:t>타 소상공인 산업 확장</w:t>
            </w:r>
          </w:p>
        </w:tc>
        <w:tc>
          <w:tcPr>
            <w:tcW w:type="dxa" w:w="2351"/>
          </w:tcPr>
          <w:p>
            <w:r>
              <w:rPr>
                <w:rFonts w:ascii="맑은 고딕" w:hAnsi="맑은 고딕" w:eastAsia="맑은 고딕"/>
                <w:sz w:val="20"/>
              </w:rPr>
              <w:t>반찬가게·떡집 등 2개 이상 산업 진출</w:t>
            </w:r>
          </w:p>
        </w:tc>
      </w:tr>
    </w:tbl>
    <w:p>
      <w:r>
        <w:br w:type="page"/>
      </w:r>
    </w:p>
    <w:p>
      <w:pPr>
        <w:pStyle w:val="Heading1"/>
        <w:jc w:val="left"/>
      </w:pPr>
      <w:r>
        <w:rPr>
          <w:rFonts w:ascii="맑은 고딕" w:hAnsi="맑은 고딕" w:eastAsia="맑은 고딕"/>
        </w:rPr>
        <w:t>2. 사업화 전략</w:t>
      </w:r>
    </w:p>
    <w:p>
      <w:pPr>
        <w:pStyle w:val="Heading2"/>
        <w:jc w:val="left"/>
      </w:pPr>
      <w:r>
        <w:rPr>
          <w:rFonts w:ascii="맑은 고딕" w:hAnsi="맑은 고딕" w:eastAsia="맑은 고딕"/>
        </w:rPr>
        <w:t>2.1 수익모델(BM)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맑은 고딕" w:hAnsi="맑은 고딕" w:eastAsia="맑은 고딕"/>
                <w:b/>
                <w:sz w:val="20"/>
              </w:rPr>
              <w:t>수익 항목</w:t>
            </w:r>
          </w:p>
        </w:tc>
        <w:tc>
          <w:tcPr>
            <w:tcW w:type="dxa" w:w="2351"/>
          </w:tcPr>
          <w:p>
            <w:r>
              <w:rPr>
                <w:rFonts w:ascii="맑은 고딕" w:hAnsi="맑은 고딕" w:eastAsia="맑은 고딕"/>
                <w:b/>
                <w:sz w:val="20"/>
              </w:rPr>
              <w:t>과금 방식</w:t>
            </w:r>
          </w:p>
        </w:tc>
        <w:tc>
          <w:tcPr>
            <w:tcW w:type="dxa" w:w="2351"/>
          </w:tcPr>
          <w:p>
            <w:r>
              <w:rPr>
                <w:rFonts w:ascii="맑은 고딕" w:hAnsi="맑은 고딕" w:eastAsia="맑은 고딕"/>
                <w:b/>
                <w:sz w:val="20"/>
              </w:rPr>
              <w:t>단가(안)</w:t>
            </w:r>
          </w:p>
        </w:tc>
        <w:tc>
          <w:tcPr>
            <w:tcW w:type="dxa" w:w="2351"/>
          </w:tcPr>
          <w:p>
            <w:r>
              <w:rPr>
                <w:rFonts w:ascii="맑은 고딕" w:hAnsi="맑은 고딕" w:eastAsia="맑은 고딕"/>
                <w:b/>
                <w:sz w:val="20"/>
              </w:rPr>
              <w:t>비고</w:t>
            </w:r>
          </w:p>
        </w:tc>
      </w:tr>
      <w:tr>
        <w:tc>
          <w:tcPr>
            <w:tcW w:type="dxa" w:w="2351"/>
          </w:tcPr>
          <w:p>
            <w:r>
              <w:rPr>
                <w:rFonts w:ascii="맑은 고딕" w:hAnsi="맑은 고딕" w:eastAsia="맑은 고딕"/>
                <w:sz w:val="20"/>
              </w:rPr>
              <w:t>기본 SaaS 구독료</w:t>
            </w:r>
          </w:p>
        </w:tc>
        <w:tc>
          <w:tcPr>
            <w:tcW w:type="dxa" w:w="2351"/>
          </w:tcPr>
          <w:p>
            <w:r>
              <w:rPr>
                <w:rFonts w:ascii="맑은 고딕" w:hAnsi="맑은 고딕" w:eastAsia="맑은 고딕"/>
                <w:sz w:val="20"/>
              </w:rPr>
              <w:t>월 정액</w:t>
            </w:r>
          </w:p>
        </w:tc>
        <w:tc>
          <w:tcPr>
            <w:tcW w:type="dxa" w:w="2351"/>
          </w:tcPr>
          <w:p>
            <w:r>
              <w:rPr>
                <w:rFonts w:ascii="맑은 고딕" w:hAnsi="맑은 고딕" w:eastAsia="맑은 고딕"/>
                <w:sz w:val="20"/>
              </w:rPr>
              <w:t>5~10만 원/매장</w:t>
            </w:r>
          </w:p>
        </w:tc>
        <w:tc>
          <w:tcPr>
            <w:tcW w:type="dxa" w:w="2351"/>
          </w:tcPr>
          <w:p>
            <w:r>
              <w:rPr>
                <w:rFonts w:ascii="맑은 고딕" w:hAnsi="맑은 고딕" w:eastAsia="맑은 고딕"/>
                <w:sz w:val="20"/>
              </w:rPr>
              <w:t>이탈 예측·문자 생성·대시보드 기본 제공</w:t>
            </w:r>
          </w:p>
        </w:tc>
      </w:tr>
      <w:tr>
        <w:tc>
          <w:tcPr>
            <w:tcW w:type="dxa" w:w="2351"/>
          </w:tcPr>
          <w:p>
            <w:r>
              <w:rPr>
                <w:rFonts w:ascii="맑은 고딕" w:hAnsi="맑은 고딕" w:eastAsia="맑은 고딕"/>
                <w:sz w:val="20"/>
              </w:rPr>
              <w:t>문자 발송 건당 요금</w:t>
            </w:r>
          </w:p>
        </w:tc>
        <w:tc>
          <w:tcPr>
            <w:tcW w:type="dxa" w:w="2351"/>
          </w:tcPr>
          <w:p>
            <w:r>
              <w:rPr>
                <w:rFonts w:ascii="맑은 고딕" w:hAnsi="맑은 고딕" w:eastAsia="맑은 고딕"/>
                <w:sz w:val="20"/>
              </w:rPr>
              <w:t>건당 과금</w:t>
            </w:r>
          </w:p>
        </w:tc>
        <w:tc>
          <w:tcPr>
            <w:tcW w:type="dxa" w:w="2351"/>
          </w:tcPr>
          <w:p>
            <w:r>
              <w:rPr>
                <w:rFonts w:ascii="맑은 고딕" w:hAnsi="맑은 고딕" w:eastAsia="맑은 고딕"/>
                <w:sz w:val="20"/>
              </w:rPr>
              <w:t>10~15원/건</w:t>
            </w:r>
          </w:p>
        </w:tc>
        <w:tc>
          <w:tcPr>
            <w:tcW w:type="dxa" w:w="2351"/>
          </w:tcPr>
          <w:p>
            <w:r>
              <w:rPr>
                <w:rFonts w:ascii="맑은 고딕" w:hAnsi="맑은 고딕" w:eastAsia="맑은 고딕"/>
                <w:sz w:val="20"/>
              </w:rPr>
              <w:t>통신사 원가 + 마진</w:t>
            </w:r>
          </w:p>
        </w:tc>
      </w:tr>
      <w:tr>
        <w:tc>
          <w:tcPr>
            <w:tcW w:type="dxa" w:w="2351"/>
          </w:tcPr>
          <w:p>
            <w:r>
              <w:rPr>
                <w:rFonts w:ascii="맑은 고딕" w:hAnsi="맑은 고딕" w:eastAsia="맑은 고딕"/>
                <w:sz w:val="20"/>
              </w:rPr>
              <w:t>프리미엄 분석 리포트</w:t>
            </w:r>
          </w:p>
        </w:tc>
        <w:tc>
          <w:tcPr>
            <w:tcW w:type="dxa" w:w="2351"/>
          </w:tcPr>
          <w:p>
            <w:r>
              <w:rPr>
                <w:rFonts w:ascii="맑은 고딕" w:hAnsi="맑은 고딕" w:eastAsia="맑은 고딕"/>
                <w:sz w:val="20"/>
              </w:rPr>
              <w:t>월 추가 정액</w:t>
            </w:r>
          </w:p>
        </w:tc>
        <w:tc>
          <w:tcPr>
            <w:tcW w:type="dxa" w:w="2351"/>
          </w:tcPr>
          <w:p>
            <w:r>
              <w:rPr>
                <w:rFonts w:ascii="맑은 고딕" w:hAnsi="맑은 고딕" w:eastAsia="맑은 고딕"/>
                <w:sz w:val="20"/>
              </w:rPr>
              <w:t>3~5만 원/매장</w:t>
            </w:r>
          </w:p>
        </w:tc>
        <w:tc>
          <w:tcPr>
            <w:tcW w:type="dxa" w:w="2351"/>
          </w:tcPr>
          <w:p>
            <w:r>
              <w:rPr>
                <w:rFonts w:ascii="맑은 고딕" w:hAnsi="맑은 고딕" w:eastAsia="맑은 고딕"/>
                <w:sz w:val="20"/>
              </w:rPr>
              <w:t>월간 매출 분석·상품 추천</w:t>
            </w:r>
          </w:p>
        </w:tc>
      </w:tr>
      <w:tr>
        <w:tc>
          <w:tcPr>
            <w:tcW w:type="dxa" w:w="2351"/>
          </w:tcPr>
          <w:p>
            <w:r>
              <w:rPr>
                <w:rFonts w:ascii="맑은 고딕" w:hAnsi="맑은 고딕" w:eastAsia="맑은 고딕"/>
                <w:sz w:val="20"/>
              </w:rPr>
              <w:t>프랜차이즈 본부 연동</w:t>
            </w:r>
          </w:p>
        </w:tc>
        <w:tc>
          <w:tcPr>
            <w:tcW w:type="dxa" w:w="2351"/>
          </w:tcPr>
          <w:p>
            <w:r>
              <w:rPr>
                <w:rFonts w:ascii="맑은 고딕" w:hAnsi="맑은 고딕" w:eastAsia="맑은 고딕"/>
                <w:sz w:val="20"/>
              </w:rPr>
              <w:t>연 계약</w:t>
            </w:r>
          </w:p>
        </w:tc>
        <w:tc>
          <w:tcPr>
            <w:tcW w:type="dxa" w:w="2351"/>
          </w:tcPr>
          <w:p>
            <w:r>
              <w:rPr>
                <w:rFonts w:ascii="맑은 고딕" w:hAnsi="맑은 고딕" w:eastAsia="맑은 고딕"/>
                <w:sz w:val="20"/>
              </w:rPr>
              <w:t>협의</w:t>
            </w:r>
          </w:p>
        </w:tc>
        <w:tc>
          <w:tcPr>
            <w:tcW w:type="dxa" w:w="2351"/>
          </w:tcPr>
          <w:p>
            <w:r>
              <w:rPr>
                <w:rFonts w:ascii="맑은 고딕" w:hAnsi="맑은 고딕" w:eastAsia="맑은 고딕"/>
                <w:sz w:val="20"/>
              </w:rPr>
              <w:t>가맹점 통합 관리 기능</w:t>
            </w:r>
          </w:p>
        </w:tc>
      </w:tr>
    </w:tbl>
    <w:p/>
    <w:p>
      <w:pPr>
        <w:spacing w:after="120" w:line="360" w:lineRule="auto"/>
      </w:pPr>
      <w:r>
        <w:rPr>
          <w:rFonts w:ascii="맑은 고딕" w:hAnsi="맑은 고딕" w:eastAsia="맑은 고딕"/>
          <w:sz w:val="22"/>
        </w:rPr>
        <w:t>본 수익모델은 소상공인의 비용 부담을 최소화하면서도 지속 가능한 수익 구조를 확보하기 위해 "기본 정액 + 성과 연동형 건당 과금"의 하이브리드 구조를 채택하였다. 월 구독료는 매장 규모와 관계없이 5~10만 원 수준으로 책정하여 진입 장벽을 낮추고, 문자 발송량에 따른 건당 과금으로 실제 사용량에 비례한 수익을 확보한다.</w:t>
      </w:r>
    </w:p>
    <w:p>
      <w:pPr>
        <w:pStyle w:val="Heading2"/>
        <w:jc w:val="left"/>
      </w:pPr>
      <w:r>
        <w:rPr>
          <w:rFonts w:ascii="맑은 고딕" w:hAnsi="맑은 고딕" w:eastAsia="맑은 고딕"/>
        </w:rPr>
        <w:t>2.2 마케팅 전략</w:t>
      </w:r>
    </w:p>
    <w:p>
      <w:pPr>
        <w:spacing w:after="120" w:line="360" w:lineRule="auto"/>
      </w:pPr>
      <w:r>
        <w:rPr>
          <w:rFonts w:ascii="맑은 고딕" w:hAnsi="맑은 고딕" w:eastAsia="맑은 고딕"/>
          <w:sz w:val="22"/>
        </w:rPr>
        <w:t>① 레퍼런스 마케팅: 본 과제의 35개 파일럿 매장에서 검증된 매출 향상 실적을 핵심 마케팅 자산으로 활용한다. RCT 실험을 통해 과학적으로 검증된 "매출 증가율", "재방문율 향상"등의 수치를 마케팅 메시지로 전환한다.</w:t>
      </w:r>
    </w:p>
    <w:p>
      <w:pPr>
        <w:spacing w:after="120" w:line="360" w:lineRule="auto"/>
      </w:pPr>
      <w:r>
        <w:rPr>
          <w:rFonts w:ascii="맑은 고딕" w:hAnsi="맑은 고딕" w:eastAsia="맑은 고딕"/>
          <w:sz w:val="22"/>
        </w:rPr>
        <w:t>② 조합·협회 제휴: 지역 정육 협동조합, 한우자조금관리위원회 등 산업 단체와 제휴하여 조합원 대상 일괄 프로모션을 전개한다. 신뢰도 높은 단체의 추천은 디지털 취약계층인 사장님의 초기 수용성을 높이는 핵심 전략이다.</w:t>
      </w:r>
    </w:p>
    <w:p>
      <w:pPr>
        <w:spacing w:after="120" w:line="360" w:lineRule="auto"/>
      </w:pPr>
      <w:r>
        <w:rPr>
          <w:rFonts w:ascii="맑은 고딕" w:hAnsi="맑은 고딕" w:eastAsia="맑은 고딕"/>
          <w:sz w:val="22"/>
        </w:rPr>
        <w:t>③ 정부 지원사업 연계: 중소벤처기업부의 소상공인 디지털 전환 지원사업, 스마트상점 기술보급사업 등에 공식 솔루션으로 등록하여 바우처·보조금 수혜 대상 제품으로 포지셔닝한다.</w:t>
      </w:r>
    </w:p>
    <w:p>
      <w:pPr>
        <w:spacing w:after="120" w:line="360" w:lineRule="auto"/>
      </w:pPr>
      <w:r>
        <w:rPr>
          <w:rFonts w:ascii="맑은 고딕" w:hAnsi="맑은 고딕" w:eastAsia="맑은 고딕"/>
          <w:sz w:val="22"/>
        </w:rPr>
        <w:t>④ 콘텐츠 마케팅: 정육점 사장님 대상 유튜브·블로그 채널을 운영하여 "AI로 매출 올린 정육점" 사례 콘텐츠를 지속적으로 발행, 잠재 고객과의 접점을 확대한다.</w:t>
      </w:r>
    </w:p>
    <w:p>
      <w:pPr>
        <w:pStyle w:val="Heading2"/>
        <w:jc w:val="left"/>
      </w:pPr>
      <w:r>
        <w:rPr>
          <w:rFonts w:ascii="맑은 고딕" w:hAnsi="맑은 고딕" w:eastAsia="맑은 고딕"/>
        </w:rPr>
        <w:t>2.3 판로 전략</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맑은 고딕" w:hAnsi="맑은 고딕" w:eastAsia="맑은 고딕"/>
                <w:b/>
                <w:sz w:val="20"/>
              </w:rPr>
              <w:t>채널</w:t>
            </w:r>
          </w:p>
        </w:tc>
        <w:tc>
          <w:tcPr>
            <w:tcW w:type="dxa" w:w="3135"/>
          </w:tcPr>
          <w:p>
            <w:r>
              <w:rPr>
                <w:rFonts w:ascii="맑은 고딕" w:hAnsi="맑은 고딕" w:eastAsia="맑은 고딕"/>
                <w:b/>
                <w:sz w:val="20"/>
              </w:rPr>
              <w:t>전략</w:t>
            </w:r>
          </w:p>
        </w:tc>
        <w:tc>
          <w:tcPr>
            <w:tcW w:type="dxa" w:w="3135"/>
          </w:tcPr>
          <w:p>
            <w:r>
              <w:rPr>
                <w:rFonts w:ascii="맑은 고딕" w:hAnsi="맑은 고딕" w:eastAsia="맑은 고딕"/>
                <w:b/>
                <w:sz w:val="20"/>
              </w:rPr>
              <w:t>목표 비중</w:t>
            </w:r>
          </w:p>
        </w:tc>
      </w:tr>
      <w:tr>
        <w:tc>
          <w:tcPr>
            <w:tcW w:type="dxa" w:w="3135"/>
          </w:tcPr>
          <w:p>
            <w:r>
              <w:rPr>
                <w:rFonts w:ascii="맑은 고딕" w:hAnsi="맑은 고딕" w:eastAsia="맑은 고딕"/>
                <w:sz w:val="20"/>
              </w:rPr>
              <w:t>직판 (온라인)</w:t>
            </w:r>
          </w:p>
        </w:tc>
        <w:tc>
          <w:tcPr>
            <w:tcW w:type="dxa" w:w="3135"/>
          </w:tcPr>
          <w:p>
            <w:r>
              <w:rPr>
                <w:rFonts w:ascii="맑은 고딕" w:hAnsi="맑은 고딕" w:eastAsia="맑은 고딕"/>
                <w:sz w:val="20"/>
              </w:rPr>
              <w:t>웹사이트·전화 상담을 통한 직접 영업</w:t>
            </w:r>
          </w:p>
        </w:tc>
        <w:tc>
          <w:tcPr>
            <w:tcW w:type="dxa" w:w="3135"/>
          </w:tcPr>
          <w:p>
            <w:r>
              <w:rPr>
                <w:rFonts w:ascii="맑은 고딕" w:hAnsi="맑은 고딕" w:eastAsia="맑은 고딕"/>
                <w:sz w:val="20"/>
              </w:rPr>
              <w:t>40%</w:t>
            </w:r>
          </w:p>
        </w:tc>
      </w:tr>
      <w:tr>
        <w:tc>
          <w:tcPr>
            <w:tcW w:type="dxa" w:w="3135"/>
          </w:tcPr>
          <w:p>
            <w:r>
              <w:rPr>
                <w:rFonts w:ascii="맑은 고딕" w:hAnsi="맑은 고딕" w:eastAsia="맑은 고딕"/>
                <w:sz w:val="20"/>
              </w:rPr>
              <w:t>조합·협회 제휴</w:t>
            </w:r>
          </w:p>
        </w:tc>
        <w:tc>
          <w:tcPr>
            <w:tcW w:type="dxa" w:w="3135"/>
          </w:tcPr>
          <w:p>
            <w:r>
              <w:rPr>
                <w:rFonts w:ascii="맑은 고딕" w:hAnsi="맑은 고딕" w:eastAsia="맑은 고딕"/>
                <w:sz w:val="20"/>
              </w:rPr>
              <w:t>정육 협동조합, 한우자조금 등 단체 일괄 계약</w:t>
            </w:r>
          </w:p>
        </w:tc>
        <w:tc>
          <w:tcPr>
            <w:tcW w:type="dxa" w:w="3135"/>
          </w:tcPr>
          <w:p>
            <w:r>
              <w:rPr>
                <w:rFonts w:ascii="맑은 고딕" w:hAnsi="맑은 고딕" w:eastAsia="맑은 고딕"/>
                <w:sz w:val="20"/>
              </w:rPr>
              <w:t>30%</w:t>
            </w:r>
          </w:p>
        </w:tc>
      </w:tr>
      <w:tr>
        <w:tc>
          <w:tcPr>
            <w:tcW w:type="dxa" w:w="3135"/>
          </w:tcPr>
          <w:p>
            <w:r>
              <w:rPr>
                <w:rFonts w:ascii="맑은 고딕" w:hAnsi="맑은 고딕" w:eastAsia="맑은 고딕"/>
                <w:sz w:val="20"/>
              </w:rPr>
              <w:t>프랜차이즈 번들</w:t>
            </w:r>
          </w:p>
        </w:tc>
        <w:tc>
          <w:tcPr>
            <w:tcW w:type="dxa" w:w="3135"/>
          </w:tcPr>
          <w:p>
            <w:r>
              <w:rPr>
                <w:rFonts w:ascii="맑은 고딕" w:hAnsi="맑은 고딕" w:eastAsia="맑은 고딕"/>
                <w:sz w:val="20"/>
              </w:rPr>
              <w:t>프랜차이즈 정육 본부와 가맹점 관리 툴 번들 공급</w:t>
            </w:r>
          </w:p>
        </w:tc>
        <w:tc>
          <w:tcPr>
            <w:tcW w:type="dxa" w:w="3135"/>
          </w:tcPr>
          <w:p>
            <w:r>
              <w:rPr>
                <w:rFonts w:ascii="맑은 고딕" w:hAnsi="맑은 고딕" w:eastAsia="맑은 고딕"/>
                <w:sz w:val="20"/>
              </w:rPr>
              <w:t>20%</w:t>
            </w:r>
          </w:p>
        </w:tc>
      </w:tr>
      <w:tr>
        <w:tc>
          <w:tcPr>
            <w:tcW w:type="dxa" w:w="3135"/>
          </w:tcPr>
          <w:p>
            <w:r>
              <w:rPr>
                <w:rFonts w:ascii="맑은 고딕" w:hAnsi="맑은 고딕" w:eastAsia="맑은 고딕"/>
                <w:sz w:val="20"/>
              </w:rPr>
              <w:t>정부 바우처</w:t>
            </w:r>
          </w:p>
        </w:tc>
        <w:tc>
          <w:tcPr>
            <w:tcW w:type="dxa" w:w="3135"/>
          </w:tcPr>
          <w:p>
            <w:r>
              <w:rPr>
                <w:rFonts w:ascii="맑은 고딕" w:hAnsi="맑은 고딕" w:eastAsia="맑은 고딕"/>
                <w:sz w:val="20"/>
              </w:rPr>
              <w:t>소상공인 디지털 전환 지원사업 연계</w:t>
            </w:r>
          </w:p>
        </w:tc>
        <w:tc>
          <w:tcPr>
            <w:tcW w:type="dxa" w:w="3135"/>
          </w:tcPr>
          <w:p>
            <w:r>
              <w:rPr>
                <w:rFonts w:ascii="맑은 고딕" w:hAnsi="맑은 고딕" w:eastAsia="맑은 고딕"/>
                <w:sz w:val="20"/>
              </w:rPr>
              <w:t>10%</w:t>
            </w:r>
          </w:p>
        </w:tc>
      </w:tr>
    </w:tbl>
    <w:p>
      <w:r>
        <w:br w:type="page"/>
      </w:r>
    </w:p>
    <w:p>
      <w:pPr>
        <w:pStyle w:val="Heading1"/>
        <w:jc w:val="left"/>
      </w:pPr>
      <w:r>
        <w:rPr>
          <w:rFonts w:ascii="맑은 고딕" w:hAnsi="맑은 고딕" w:eastAsia="맑은 고딕"/>
        </w:rPr>
        <w:t>3. 목표시장의 성장성, 진출 가능성</w:t>
      </w:r>
    </w:p>
    <w:p>
      <w:pPr>
        <w:pStyle w:val="Heading2"/>
        <w:jc w:val="left"/>
      </w:pPr>
      <w:r>
        <w:rPr>
          <w:rFonts w:ascii="맑은 고딕" w:hAnsi="맑은 고딕" w:eastAsia="맑은 고딕"/>
        </w:rPr>
        <w:t>3.1 목표시장 규모</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맑은 고딕" w:hAnsi="맑은 고딕" w:eastAsia="맑은 고딕"/>
                <w:b/>
                <w:sz w:val="20"/>
              </w:rPr>
              <w:t>구분</w:t>
            </w:r>
          </w:p>
        </w:tc>
        <w:tc>
          <w:tcPr>
            <w:tcW w:type="dxa" w:w="3135"/>
          </w:tcPr>
          <w:p>
            <w:r>
              <w:rPr>
                <w:rFonts w:ascii="맑은 고딕" w:hAnsi="맑은 고딕" w:eastAsia="맑은 고딕"/>
                <w:b/>
                <w:sz w:val="20"/>
              </w:rPr>
              <w:t>규모</w:t>
            </w:r>
          </w:p>
        </w:tc>
        <w:tc>
          <w:tcPr>
            <w:tcW w:type="dxa" w:w="3135"/>
          </w:tcPr>
          <w:p>
            <w:r>
              <w:rPr>
                <w:rFonts w:ascii="맑은 고딕" w:hAnsi="맑은 고딕" w:eastAsia="맑은 고딕"/>
                <w:b/>
                <w:sz w:val="20"/>
              </w:rPr>
              <w:t>비고</w:t>
            </w:r>
          </w:p>
        </w:tc>
      </w:tr>
      <w:tr>
        <w:tc>
          <w:tcPr>
            <w:tcW w:type="dxa" w:w="3135"/>
          </w:tcPr>
          <w:p>
            <w:r>
              <w:rPr>
                <w:rFonts w:ascii="맑은 고딕" w:hAnsi="맑은 고딕" w:eastAsia="맑은 고딕"/>
                <w:sz w:val="20"/>
              </w:rPr>
              <w:t>국내 정육점(축산물 소매업) 사업체 수</w:t>
            </w:r>
          </w:p>
        </w:tc>
        <w:tc>
          <w:tcPr>
            <w:tcW w:type="dxa" w:w="3135"/>
          </w:tcPr>
          <w:p>
            <w:r>
              <w:rPr>
                <w:rFonts w:ascii="맑은 고딕" w:hAnsi="맑은 고딕" w:eastAsia="맑은 고딕"/>
                <w:sz w:val="20"/>
              </w:rPr>
              <w:t>약 45,000~50,000개</w:t>
            </w:r>
          </w:p>
        </w:tc>
        <w:tc>
          <w:tcPr>
            <w:tcW w:type="dxa" w:w="3135"/>
          </w:tcPr>
          <w:p>
            <w:r>
              <w:rPr>
                <w:rFonts w:ascii="맑은 고딕" w:hAnsi="맑은 고딕" w:eastAsia="맑은 고딕"/>
                <w:sz w:val="20"/>
              </w:rPr>
              <w:t>통계청 서비스업 조사 기준</w:t>
            </w:r>
          </w:p>
        </w:tc>
      </w:tr>
      <w:tr>
        <w:tc>
          <w:tcPr>
            <w:tcW w:type="dxa" w:w="3135"/>
          </w:tcPr>
          <w:p>
            <w:r>
              <w:rPr>
                <w:rFonts w:ascii="맑은 고딕" w:hAnsi="맑은 고딕" w:eastAsia="맑은 고딕"/>
                <w:sz w:val="20"/>
              </w:rPr>
              <w:t>국내 전체 식품 소상공인</w:t>
            </w:r>
          </w:p>
        </w:tc>
        <w:tc>
          <w:tcPr>
            <w:tcW w:type="dxa" w:w="3135"/>
          </w:tcPr>
          <w:p>
            <w:r>
              <w:rPr>
                <w:rFonts w:ascii="맑은 고딕" w:hAnsi="맑은 고딕" w:eastAsia="맑은 고딕"/>
                <w:sz w:val="20"/>
              </w:rPr>
              <w:t>약 300,000개</w:t>
            </w:r>
          </w:p>
        </w:tc>
        <w:tc>
          <w:tcPr>
            <w:tcW w:type="dxa" w:w="3135"/>
          </w:tcPr>
          <w:p>
            <w:r>
              <w:rPr>
                <w:rFonts w:ascii="맑은 고딕" w:hAnsi="맑은 고딕" w:eastAsia="맑은 고딕"/>
                <w:sz w:val="20"/>
              </w:rPr>
              <w:t>반찬가게·떡집·농수산물 등 포함</w:t>
            </w:r>
          </w:p>
        </w:tc>
      </w:tr>
      <w:tr>
        <w:tc>
          <w:tcPr>
            <w:tcW w:type="dxa" w:w="3135"/>
          </w:tcPr>
          <w:p>
            <w:r>
              <w:rPr>
                <w:rFonts w:ascii="맑은 고딕" w:hAnsi="맑은 고딕" w:eastAsia="맑은 고딕"/>
                <w:sz w:val="20"/>
              </w:rPr>
              <w:t>국내 전체 소상공인</w:t>
            </w:r>
          </w:p>
        </w:tc>
        <w:tc>
          <w:tcPr>
            <w:tcW w:type="dxa" w:w="3135"/>
          </w:tcPr>
          <w:p>
            <w:r>
              <w:rPr>
                <w:rFonts w:ascii="맑은 고딕" w:hAnsi="맑은 고딕" w:eastAsia="맑은 고딕"/>
                <w:sz w:val="20"/>
              </w:rPr>
              <w:t>약 7,300,000명</w:t>
            </w:r>
          </w:p>
        </w:tc>
        <w:tc>
          <w:tcPr>
            <w:tcW w:type="dxa" w:w="3135"/>
          </w:tcPr>
          <w:p>
            <w:r>
              <w:rPr>
                <w:rFonts w:ascii="맑은 고딕" w:hAnsi="맑은 고딕" w:eastAsia="맑은 고딕"/>
                <w:sz w:val="20"/>
              </w:rPr>
              <w:t>중소벤처기업부 기준</w:t>
            </w:r>
          </w:p>
        </w:tc>
      </w:tr>
      <w:tr>
        <w:tc>
          <w:tcPr>
            <w:tcW w:type="dxa" w:w="3135"/>
          </w:tcPr>
          <w:p>
            <w:r>
              <w:rPr>
                <w:rFonts w:ascii="맑은 고딕" w:hAnsi="맑은 고딕" w:eastAsia="맑은 고딕"/>
                <w:sz w:val="20"/>
              </w:rPr>
              <w:t>소상공인 디지털 마케팅 TAM</w:t>
            </w:r>
          </w:p>
        </w:tc>
        <w:tc>
          <w:tcPr>
            <w:tcW w:type="dxa" w:w="3135"/>
          </w:tcPr>
          <w:p>
            <w:r>
              <w:rPr>
                <w:rFonts w:ascii="맑은 고딕" w:hAnsi="맑은 고딕" w:eastAsia="맑은 고딕"/>
                <w:sz w:val="20"/>
              </w:rPr>
              <w:t>약 2조 원 이상</w:t>
            </w:r>
          </w:p>
        </w:tc>
        <w:tc>
          <w:tcPr>
            <w:tcW w:type="dxa" w:w="3135"/>
          </w:tcPr>
          <w:p>
            <w:r>
              <w:rPr>
                <w:rFonts w:ascii="맑은 고딕" w:hAnsi="맑은 고딕" w:eastAsia="맑은 고딕"/>
                <w:sz w:val="20"/>
              </w:rPr>
              <w:t>국내 기준 추정</w:t>
            </w:r>
          </w:p>
        </w:tc>
      </w:tr>
    </w:tbl>
    <w:p/>
    <w:p>
      <w:pPr>
        <w:pStyle w:val="Heading2"/>
        <w:jc w:val="left"/>
      </w:pPr>
      <w:r>
        <w:rPr>
          <w:rFonts w:ascii="맑은 고딕" w:hAnsi="맑은 고딕" w:eastAsia="맑은 고딕"/>
        </w:rPr>
        <w:t>3.2 시장 성장성</w:t>
      </w:r>
    </w:p>
    <w:p>
      <w:pPr>
        <w:spacing w:after="120" w:line="360" w:lineRule="auto"/>
      </w:pPr>
      <w:r>
        <w:rPr>
          <w:rFonts w:ascii="맑은 고딕" w:hAnsi="맑은 고딕" w:eastAsia="맑은 고딕"/>
          <w:sz w:val="22"/>
        </w:rPr>
        <w:t>① AI 마케팅 시장 성장: 국내 AI 기반 마케팅 솔루션 시장은 연평균 25% 이상 성장 중이며, 특히 생성형 AI 도입 이후 중소기업·소상공인 대상 시장이 급성장하고 있다.</w:t>
      </w:r>
    </w:p>
    <w:p>
      <w:pPr>
        <w:spacing w:after="120" w:line="360" w:lineRule="auto"/>
      </w:pPr>
      <w:r>
        <w:rPr>
          <w:rFonts w:ascii="맑은 고딕" w:hAnsi="맑은 고딕" w:eastAsia="맑은 고딕"/>
          <w:sz w:val="22"/>
        </w:rPr>
        <w:t>② 소상공인 디지털 전환 정책: 정부는 2025년까지 소상공인 50만 명 디지털 전환을 목표로 연 수천억 원 규모의 바우처·보조금을 투입하고 있어 시장 성장을 견인하고 있다.</w:t>
      </w:r>
    </w:p>
    <w:p>
      <w:pPr>
        <w:spacing w:after="120" w:line="360" w:lineRule="auto"/>
      </w:pPr>
      <w:r>
        <w:rPr>
          <w:rFonts w:ascii="맑은 고딕" w:hAnsi="맑은 고딕" w:eastAsia="맑은 고딕"/>
          <w:sz w:val="22"/>
        </w:rPr>
        <w:t>③ LLM 기술 대중화: ChatGPT 등 LLM의 대중화로 AI에 대한 소상공인의 인식과 수용성이 빠르게 개선되고 있으며, 이는 AI 고객관리 에이전트 시장의 확대를 가속화한다.</w:t>
      </w:r>
    </w:p>
    <w:p>
      <w:pPr>
        <w:pStyle w:val="Heading2"/>
        <w:jc w:val="left"/>
      </w:pPr>
      <w:r>
        <w:rPr>
          <w:rFonts w:ascii="맑은 고딕" w:hAnsi="맑은 고딕" w:eastAsia="맑은 고딕"/>
        </w:rPr>
        <w:t>3.3 시장 진출 가능성</w:t>
      </w:r>
    </w:p>
    <w:p>
      <w:pPr>
        <w:spacing w:after="120" w:line="360" w:lineRule="auto"/>
      </w:pPr>
      <w:r>
        <w:rPr>
          <w:rFonts w:ascii="맑은 고딕" w:hAnsi="맑은 고딕" w:eastAsia="맑은 고딕"/>
          <w:sz w:val="22"/>
        </w:rPr>
        <w:t>① 기술 차별성 확보: 본 과제를 통해 정육점 도메인에 특화된 이탈 예측 모델과 LLM 프롬프트를 개발하고, RCT 기반의 과학적 검증 데이터를 확보함으로써 경쟁사 대비 압도적인 기술 차별성을 갖춘다.</w:t>
      </w:r>
    </w:p>
    <w:p>
      <w:pPr>
        <w:spacing w:after="120" w:line="360" w:lineRule="auto"/>
      </w:pPr>
      <w:r>
        <w:rPr>
          <w:rFonts w:ascii="맑은 고딕" w:hAnsi="맑은 고딕" w:eastAsia="맑은 고딕"/>
          <w:sz w:val="22"/>
        </w:rPr>
        <w:t>② 디지털 취약계층 UX: 50~60대 사장님을 주요 사용자로 상정한 UX 연구(SUS, TAM, Think-aloud)를 수행하여 디지털 취약계층 친화적 인터페이스를 설계함으로써 경쟁사가 쉽게 모방하기 어려운 진입장벽을 형성한다.</w:t>
      </w:r>
    </w:p>
    <w:p>
      <w:pPr>
        <w:spacing w:after="120" w:line="360" w:lineRule="auto"/>
      </w:pPr>
      <w:r>
        <w:rPr>
          <w:rFonts w:ascii="맑은 고딕" w:hAnsi="맑은 고딕" w:eastAsia="맑은 고딕"/>
          <w:sz w:val="22"/>
        </w:rPr>
        <w:t>③ 도메인 전문가 네트워크: 13년 로컬 마케팅 경력의 도메인 전문가(이지백)를 핵심 팀원으로 보유하여 35개 파일럿 매장 섭외 및 시장 진입에 필요한 네트워크를 확보하고 있다.</w:t>
      </w:r>
    </w:p>
    <w:p>
      <w:pPr>
        <w:pStyle w:val="Heading2"/>
        <w:jc w:val="left"/>
      </w:pPr>
      <w:r>
        <w:rPr>
          <w:rFonts w:ascii="맑은 고딕" w:hAnsi="맑은 고딕" w:eastAsia="맑은 고딕"/>
        </w:rPr>
        <w:t>3.4 확장 가능성</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맑은 고딕" w:hAnsi="맑은 고딕" w:eastAsia="맑은 고딕"/>
                <w:b/>
                <w:sz w:val="20"/>
              </w:rPr>
              <w:t>확장 방향</w:t>
            </w:r>
          </w:p>
        </w:tc>
        <w:tc>
          <w:tcPr>
            <w:tcW w:type="dxa" w:w="3135"/>
          </w:tcPr>
          <w:p>
            <w:r>
              <w:rPr>
                <w:rFonts w:ascii="맑은 고딕" w:hAnsi="맑은 고딕" w:eastAsia="맑은 고딕"/>
                <w:b/>
                <w:sz w:val="20"/>
              </w:rPr>
              <w:t>대상 산업/기능</w:t>
            </w:r>
          </w:p>
        </w:tc>
        <w:tc>
          <w:tcPr>
            <w:tcW w:type="dxa" w:w="3135"/>
          </w:tcPr>
          <w:p>
            <w:r>
              <w:rPr>
                <w:rFonts w:ascii="맑은 고딕" w:hAnsi="맑은 고딕" w:eastAsia="맑은 고딕"/>
                <w:b/>
                <w:sz w:val="20"/>
              </w:rPr>
              <w:t>진출 시기</w:t>
            </w:r>
          </w:p>
        </w:tc>
      </w:tr>
      <w:tr>
        <w:tc>
          <w:tcPr>
            <w:tcW w:type="dxa" w:w="3135"/>
          </w:tcPr>
          <w:p>
            <w:r>
              <w:rPr>
                <w:rFonts w:ascii="맑은 고딕" w:hAnsi="맑은 고딕" w:eastAsia="맑은 고딕"/>
                <w:sz w:val="20"/>
              </w:rPr>
              <w:t>수평 확장 (타 산업)</w:t>
            </w:r>
          </w:p>
        </w:tc>
        <w:tc>
          <w:tcPr>
            <w:tcW w:type="dxa" w:w="3135"/>
          </w:tcPr>
          <w:p>
            <w:r>
              <w:rPr>
                <w:rFonts w:ascii="맑은 고딕" w:hAnsi="맑은 고딕" w:eastAsia="맑은 고딕"/>
                <w:sz w:val="20"/>
              </w:rPr>
              <w:t>반찬가게, 떡집, 꽃집, 수산물 판매업</w:t>
            </w:r>
          </w:p>
        </w:tc>
        <w:tc>
          <w:tcPr>
            <w:tcW w:type="dxa" w:w="3135"/>
          </w:tcPr>
          <w:p>
            <w:r>
              <w:rPr>
                <w:rFonts w:ascii="맑은 고딕" w:hAnsi="맑은 고딕" w:eastAsia="맑은 고딕"/>
                <w:sz w:val="20"/>
              </w:rPr>
              <w:t>2031년~</w:t>
            </w:r>
          </w:p>
        </w:tc>
      </w:tr>
      <w:tr>
        <w:tc>
          <w:tcPr>
            <w:tcW w:type="dxa" w:w="3135"/>
          </w:tcPr>
          <w:p>
            <w:r>
              <w:rPr>
                <w:rFonts w:ascii="맑은 고딕" w:hAnsi="맑은 고딕" w:eastAsia="맑은 고딕"/>
                <w:sz w:val="20"/>
              </w:rPr>
              <w:t>수직 확장 (기능 고도화)</w:t>
            </w:r>
          </w:p>
        </w:tc>
        <w:tc>
          <w:tcPr>
            <w:tcW w:type="dxa" w:w="3135"/>
          </w:tcPr>
          <w:p>
            <w:r>
              <w:rPr>
                <w:rFonts w:ascii="맑은 고딕" w:hAnsi="맑은 고딕" w:eastAsia="맑은 고딕"/>
                <w:sz w:val="20"/>
              </w:rPr>
              <w:t>재고관리, 상품추천, 매입 의사결정 지원</w:t>
            </w:r>
          </w:p>
        </w:tc>
        <w:tc>
          <w:tcPr>
            <w:tcW w:type="dxa" w:w="3135"/>
          </w:tcPr>
          <w:p>
            <w:r>
              <w:rPr>
                <w:rFonts w:ascii="맑은 고딕" w:hAnsi="맑은 고딕" w:eastAsia="맑은 고딕"/>
                <w:sz w:val="20"/>
              </w:rPr>
              <w:t>2029년~</w:t>
            </w:r>
          </w:p>
        </w:tc>
      </w:tr>
      <w:tr>
        <w:tc>
          <w:tcPr>
            <w:tcW w:type="dxa" w:w="3135"/>
          </w:tcPr>
          <w:p>
            <w:r>
              <w:rPr>
                <w:rFonts w:ascii="맑은 고딕" w:hAnsi="맑은 고딕" w:eastAsia="맑은 고딕"/>
                <w:sz w:val="20"/>
              </w:rPr>
              <w:t>해외 진출</w:t>
            </w:r>
          </w:p>
        </w:tc>
        <w:tc>
          <w:tcPr>
            <w:tcW w:type="dxa" w:w="3135"/>
          </w:tcPr>
          <w:p>
            <w:r>
              <w:rPr>
                <w:rFonts w:ascii="맑은 고딕" w:hAnsi="맑은 고딕" w:eastAsia="맑은 고딕"/>
                <w:sz w:val="20"/>
              </w:rPr>
              <w:t>일본, 동남아 (한국형 소매 구조 유사 지역)</w:t>
            </w:r>
          </w:p>
        </w:tc>
        <w:tc>
          <w:tcPr>
            <w:tcW w:type="dxa" w:w="3135"/>
          </w:tcPr>
          <w:p>
            <w:r>
              <w:rPr>
                <w:rFonts w:ascii="맑은 고딕" w:hAnsi="맑은 고딕" w:eastAsia="맑은 고딕"/>
                <w:sz w:val="20"/>
              </w:rPr>
              <w:t>2032년~</w:t>
            </w:r>
          </w:p>
        </w:tc>
      </w:tr>
    </w:tbl>
    <w:p>
      <w:r>
        <w:br w:type="page"/>
      </w:r>
    </w:p>
    <w:p>
      <w:pPr>
        <w:pStyle w:val="Heading1"/>
        <w:jc w:val="left"/>
      </w:pPr>
      <w:r>
        <w:rPr>
          <w:rFonts w:ascii="맑은 고딕" w:hAnsi="맑은 고딕" w:eastAsia="맑은 고딕"/>
        </w:rPr>
        <w:t>4. 기대효과</w:t>
      </w:r>
    </w:p>
    <w:p>
      <w:pPr>
        <w:pStyle w:val="Heading2"/>
        <w:jc w:val="left"/>
      </w:pPr>
      <w:r>
        <w:rPr>
          <w:rFonts w:ascii="맑은 고딕" w:hAnsi="맑은 고딕" w:eastAsia="맑은 고딕"/>
        </w:rPr>
        <w:t>4.1 예상 매출 및 성장 목표</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rFonts w:ascii="맑은 고딕" w:hAnsi="맑은 고딕" w:eastAsia="맑은 고딕"/>
                <w:b/>
                <w:sz w:val="20"/>
              </w:rPr>
              <w:t>구분</w:t>
            </w:r>
          </w:p>
        </w:tc>
        <w:tc>
          <w:tcPr>
            <w:tcW w:type="dxa" w:w="1568"/>
          </w:tcPr>
          <w:p>
            <w:r>
              <w:rPr>
                <w:rFonts w:ascii="맑은 고딕" w:hAnsi="맑은 고딕" w:eastAsia="맑은 고딕"/>
                <w:b/>
                <w:sz w:val="20"/>
              </w:rPr>
              <w:t>2027</w:t>
            </w:r>
          </w:p>
        </w:tc>
        <w:tc>
          <w:tcPr>
            <w:tcW w:type="dxa" w:w="1568"/>
          </w:tcPr>
          <w:p>
            <w:r>
              <w:rPr>
                <w:rFonts w:ascii="맑은 고딕" w:hAnsi="맑은 고딕" w:eastAsia="맑은 고딕"/>
                <w:b/>
                <w:sz w:val="20"/>
              </w:rPr>
              <w:t>2028</w:t>
            </w:r>
          </w:p>
        </w:tc>
        <w:tc>
          <w:tcPr>
            <w:tcW w:type="dxa" w:w="1568"/>
          </w:tcPr>
          <w:p>
            <w:r>
              <w:rPr>
                <w:rFonts w:ascii="맑은 고딕" w:hAnsi="맑은 고딕" w:eastAsia="맑은 고딕"/>
                <w:b/>
                <w:sz w:val="20"/>
              </w:rPr>
              <w:t>2029</w:t>
            </w:r>
          </w:p>
        </w:tc>
        <w:tc>
          <w:tcPr>
            <w:tcW w:type="dxa" w:w="1568"/>
          </w:tcPr>
          <w:p>
            <w:r>
              <w:rPr>
                <w:rFonts w:ascii="맑은 고딕" w:hAnsi="맑은 고딕" w:eastAsia="맑은 고딕"/>
                <w:b/>
                <w:sz w:val="20"/>
              </w:rPr>
              <w:t>2030</w:t>
            </w:r>
          </w:p>
        </w:tc>
        <w:tc>
          <w:tcPr>
            <w:tcW w:type="dxa" w:w="1568"/>
          </w:tcPr>
          <w:p>
            <w:r>
              <w:rPr>
                <w:rFonts w:ascii="맑은 고딕" w:hAnsi="맑은 고딕" w:eastAsia="맑은 고딕"/>
                <w:b/>
                <w:sz w:val="20"/>
              </w:rPr>
              <w:t>2031</w:t>
            </w:r>
          </w:p>
        </w:tc>
      </w:tr>
      <w:tr>
        <w:tc>
          <w:tcPr>
            <w:tcW w:type="dxa" w:w="1568"/>
          </w:tcPr>
          <w:p>
            <w:r>
              <w:rPr>
                <w:rFonts w:ascii="맑은 고딕" w:hAnsi="맑은 고딕" w:eastAsia="맑은 고딕"/>
                <w:sz w:val="20"/>
              </w:rPr>
              <w:t>누적 도입 매장 수</w:t>
            </w:r>
          </w:p>
        </w:tc>
        <w:tc>
          <w:tcPr>
            <w:tcW w:type="dxa" w:w="1568"/>
          </w:tcPr>
          <w:p>
            <w:r>
              <w:rPr>
                <w:rFonts w:ascii="맑은 고딕" w:hAnsi="맑은 고딕" w:eastAsia="맑은 고딕"/>
                <w:sz w:val="20"/>
              </w:rPr>
              <w:t>35개</w:t>
            </w:r>
          </w:p>
        </w:tc>
        <w:tc>
          <w:tcPr>
            <w:tcW w:type="dxa" w:w="1568"/>
          </w:tcPr>
          <w:p>
            <w:r>
              <w:rPr>
                <w:rFonts w:ascii="맑은 고딕" w:hAnsi="맑은 고딕" w:eastAsia="맑은 고딕"/>
                <w:sz w:val="20"/>
              </w:rPr>
              <w:t>300개</w:t>
            </w:r>
          </w:p>
        </w:tc>
        <w:tc>
          <w:tcPr>
            <w:tcW w:type="dxa" w:w="1568"/>
          </w:tcPr>
          <w:p>
            <w:r>
              <w:rPr>
                <w:rFonts w:ascii="맑은 고딕" w:hAnsi="맑은 고딕" w:eastAsia="맑은 고딕"/>
                <w:sz w:val="20"/>
              </w:rPr>
              <w:t>1,200개</w:t>
            </w:r>
          </w:p>
        </w:tc>
        <w:tc>
          <w:tcPr>
            <w:tcW w:type="dxa" w:w="1568"/>
          </w:tcPr>
          <w:p>
            <w:r>
              <w:rPr>
                <w:rFonts w:ascii="맑은 고딕" w:hAnsi="맑은 고딕" w:eastAsia="맑은 고딕"/>
                <w:sz w:val="20"/>
              </w:rPr>
              <w:t>3,000개</w:t>
            </w:r>
          </w:p>
        </w:tc>
        <w:tc>
          <w:tcPr>
            <w:tcW w:type="dxa" w:w="1568"/>
          </w:tcPr>
          <w:p>
            <w:r>
              <w:rPr>
                <w:rFonts w:ascii="맑은 고딕" w:hAnsi="맑은 고딕" w:eastAsia="맑은 고딕"/>
                <w:sz w:val="20"/>
              </w:rPr>
              <w:t>5,000개 이상</w:t>
            </w:r>
          </w:p>
        </w:tc>
      </w:tr>
      <w:tr>
        <w:tc>
          <w:tcPr>
            <w:tcW w:type="dxa" w:w="1568"/>
          </w:tcPr>
          <w:p>
            <w:r>
              <w:rPr>
                <w:rFonts w:ascii="맑은 고딕" w:hAnsi="맑은 고딕" w:eastAsia="맑은 고딕"/>
                <w:sz w:val="20"/>
              </w:rPr>
              <w:t>연 매출(ARR)</w:t>
            </w:r>
          </w:p>
        </w:tc>
        <w:tc>
          <w:tcPr>
            <w:tcW w:type="dxa" w:w="1568"/>
          </w:tcPr>
          <w:p>
            <w:r>
              <w:rPr>
                <w:rFonts w:ascii="맑은 고딕" w:hAnsi="맑은 고딕" w:eastAsia="맑은 고딕"/>
                <w:sz w:val="20"/>
              </w:rPr>
              <w:t>-</w:t>
            </w:r>
          </w:p>
        </w:tc>
        <w:tc>
          <w:tcPr>
            <w:tcW w:type="dxa" w:w="1568"/>
          </w:tcPr>
          <w:p>
            <w:r>
              <w:rPr>
                <w:rFonts w:ascii="맑은 고딕" w:hAnsi="맑은 고딕" w:eastAsia="맑은 고딕"/>
                <w:sz w:val="20"/>
              </w:rPr>
              <w:t>5억 원</w:t>
            </w:r>
          </w:p>
        </w:tc>
        <w:tc>
          <w:tcPr>
            <w:tcW w:type="dxa" w:w="1568"/>
          </w:tcPr>
          <w:p>
            <w:r>
              <w:rPr>
                <w:rFonts w:ascii="맑은 고딕" w:hAnsi="맑은 고딕" w:eastAsia="맑은 고딕"/>
                <w:sz w:val="20"/>
              </w:rPr>
              <w:t>20억 원</w:t>
            </w:r>
          </w:p>
        </w:tc>
        <w:tc>
          <w:tcPr>
            <w:tcW w:type="dxa" w:w="1568"/>
          </w:tcPr>
          <w:p>
            <w:r>
              <w:rPr>
                <w:rFonts w:ascii="맑은 고딕" w:hAnsi="맑은 고딕" w:eastAsia="맑은 고딕"/>
                <w:sz w:val="20"/>
              </w:rPr>
              <w:t>50억 원</w:t>
            </w:r>
          </w:p>
        </w:tc>
        <w:tc>
          <w:tcPr>
            <w:tcW w:type="dxa" w:w="1568"/>
          </w:tcPr>
          <w:p>
            <w:r>
              <w:rPr>
                <w:rFonts w:ascii="맑은 고딕" w:hAnsi="맑은 고딕" w:eastAsia="맑은 고딕"/>
                <w:sz w:val="20"/>
              </w:rPr>
              <w:t>100억 원</w:t>
            </w:r>
          </w:p>
        </w:tc>
      </w:tr>
      <w:tr>
        <w:tc>
          <w:tcPr>
            <w:tcW w:type="dxa" w:w="1568"/>
          </w:tcPr>
          <w:p>
            <w:r>
              <w:rPr>
                <w:rFonts w:ascii="맑은 고딕" w:hAnsi="맑은 고딕" w:eastAsia="맑은 고딕"/>
                <w:sz w:val="20"/>
              </w:rPr>
              <w:t>진출 산업 수</w:t>
            </w:r>
          </w:p>
        </w:tc>
        <w:tc>
          <w:tcPr>
            <w:tcW w:type="dxa" w:w="1568"/>
          </w:tcPr>
          <w:p>
            <w:r>
              <w:rPr>
                <w:rFonts w:ascii="맑은 고딕" w:hAnsi="맑은 고딕" w:eastAsia="맑은 고딕"/>
                <w:sz w:val="20"/>
              </w:rPr>
              <w:t>1개</w:t>
            </w:r>
          </w:p>
        </w:tc>
        <w:tc>
          <w:tcPr>
            <w:tcW w:type="dxa" w:w="1568"/>
          </w:tcPr>
          <w:p>
            <w:r>
              <w:rPr>
                <w:rFonts w:ascii="맑은 고딕" w:hAnsi="맑은 고딕" w:eastAsia="맑은 고딕"/>
                <w:sz w:val="20"/>
              </w:rPr>
              <w:t>1개</w:t>
            </w:r>
          </w:p>
        </w:tc>
        <w:tc>
          <w:tcPr>
            <w:tcW w:type="dxa" w:w="1568"/>
          </w:tcPr>
          <w:p>
            <w:r>
              <w:rPr>
                <w:rFonts w:ascii="맑은 고딕" w:hAnsi="맑은 고딕" w:eastAsia="맑은 고딕"/>
                <w:sz w:val="20"/>
              </w:rPr>
              <w:t>1개</w:t>
            </w:r>
          </w:p>
        </w:tc>
        <w:tc>
          <w:tcPr>
            <w:tcW w:type="dxa" w:w="1568"/>
          </w:tcPr>
          <w:p>
            <w:r>
              <w:rPr>
                <w:rFonts w:ascii="맑은 고딕" w:hAnsi="맑은 고딕" w:eastAsia="맑은 고딕"/>
                <w:sz w:val="20"/>
              </w:rPr>
              <w:t>1개</w:t>
            </w:r>
          </w:p>
        </w:tc>
        <w:tc>
          <w:tcPr>
            <w:tcW w:type="dxa" w:w="1568"/>
          </w:tcPr>
          <w:p>
            <w:r>
              <w:rPr>
                <w:rFonts w:ascii="맑은 고딕" w:hAnsi="맑은 고딕" w:eastAsia="맑은 고딕"/>
                <w:sz w:val="20"/>
              </w:rPr>
              <w:t>2개 이상</w:t>
            </w:r>
          </w:p>
        </w:tc>
      </w:tr>
      <w:tr>
        <w:tc>
          <w:tcPr>
            <w:tcW w:type="dxa" w:w="1568"/>
          </w:tcPr>
          <w:p>
            <w:r>
              <w:rPr>
                <w:rFonts w:ascii="맑은 고딕" w:hAnsi="맑은 고딕" w:eastAsia="맑은 고딕"/>
                <w:sz w:val="20"/>
              </w:rPr>
              <w:t>고용 창출(누적)</w:t>
            </w:r>
          </w:p>
        </w:tc>
        <w:tc>
          <w:tcPr>
            <w:tcW w:type="dxa" w:w="1568"/>
          </w:tcPr>
          <w:p>
            <w:r>
              <w:rPr>
                <w:rFonts w:ascii="맑은 고딕" w:hAnsi="맑은 고딕" w:eastAsia="맑은 고딕"/>
                <w:sz w:val="20"/>
              </w:rPr>
              <w:t>8명</w:t>
            </w:r>
          </w:p>
        </w:tc>
        <w:tc>
          <w:tcPr>
            <w:tcW w:type="dxa" w:w="1568"/>
          </w:tcPr>
          <w:p>
            <w:r>
              <w:rPr>
                <w:rFonts w:ascii="맑은 고딕" w:hAnsi="맑은 고딕" w:eastAsia="맑은 고딕"/>
                <w:sz w:val="20"/>
              </w:rPr>
              <w:t>15명</w:t>
            </w:r>
          </w:p>
        </w:tc>
        <w:tc>
          <w:tcPr>
            <w:tcW w:type="dxa" w:w="1568"/>
          </w:tcPr>
          <w:p>
            <w:r>
              <w:rPr>
                <w:rFonts w:ascii="맑은 고딕" w:hAnsi="맑은 고딕" w:eastAsia="맑은 고딕"/>
                <w:sz w:val="20"/>
              </w:rPr>
              <w:t>25명</w:t>
            </w:r>
          </w:p>
        </w:tc>
        <w:tc>
          <w:tcPr>
            <w:tcW w:type="dxa" w:w="1568"/>
          </w:tcPr>
          <w:p>
            <w:r>
              <w:rPr>
                <w:rFonts w:ascii="맑은 고딕" w:hAnsi="맑은 고딕" w:eastAsia="맑은 고딕"/>
                <w:sz w:val="20"/>
              </w:rPr>
              <w:t>40명</w:t>
            </w:r>
          </w:p>
        </w:tc>
        <w:tc>
          <w:tcPr>
            <w:tcW w:type="dxa" w:w="1568"/>
          </w:tcPr>
          <w:p>
            <w:r>
              <w:rPr>
                <w:rFonts w:ascii="맑은 고딕" w:hAnsi="맑은 고딕" w:eastAsia="맑은 고딕"/>
                <w:sz w:val="20"/>
              </w:rPr>
              <w:t>60명</w:t>
            </w:r>
          </w:p>
        </w:tc>
      </w:tr>
    </w:tbl>
    <w:p/>
    <w:p>
      <w:pPr>
        <w:spacing w:after="120" w:line="360" w:lineRule="auto"/>
      </w:pPr>
      <w:r>
        <w:rPr>
          <w:rFonts w:ascii="맑은 고딕" w:hAnsi="맑은 고딕" w:eastAsia="맑은 고딕"/>
          <w:sz w:val="22"/>
        </w:rPr>
        <w:t>2027년 본 과제 종료 시점에 35개 파일럿 매장에서의 실증을 완료하고, 2028년 정식 제품 출시와 함께 300개 유료 고객 매장 확보 및 ARR 5억 원 달성을 목표로 한다. 이후 2030년까지 3,000개 매장, ARR 50억 원을 달성하여 국내 정육점 AI 고객관리 분야의 표준 솔루션 지위를 확보한다.</w:t>
      </w:r>
    </w:p>
    <w:p>
      <w:pPr>
        <w:pStyle w:val="Heading2"/>
        <w:jc w:val="left"/>
      </w:pPr>
      <w:r>
        <w:rPr>
          <w:rFonts w:ascii="맑은 고딕" w:hAnsi="맑은 고딕" w:eastAsia="맑은 고딕"/>
        </w:rPr>
        <w:t>4.2 기술적 기대효과</w:t>
      </w:r>
    </w:p>
    <w:p>
      <w:pPr>
        <w:spacing w:after="120" w:line="360" w:lineRule="auto"/>
      </w:pPr>
      <w:r>
        <w:rPr>
          <w:rFonts w:ascii="맑은 고딕" w:hAnsi="맑은 고딕" w:eastAsia="맑은 고딕"/>
          <w:sz w:val="22"/>
        </w:rPr>
        <w:t>① 특허 5건 출원·등록: 이탈 예측 알고리즘, LLM 개인화 프롬프트, 자동 재학습 시스템 등 핵심 기술의 지식재산권 확보</w:t>
      </w:r>
    </w:p>
    <w:p>
      <w:pPr>
        <w:spacing w:after="120" w:line="360" w:lineRule="auto"/>
      </w:pPr>
      <w:r>
        <w:rPr>
          <w:rFonts w:ascii="맑은 고딕" w:hAnsi="맑은 고딕" w:eastAsia="맑은 고딕"/>
          <w:sz w:val="22"/>
        </w:rPr>
        <w:t>② 논문 5편 게재: SCI/SSCI급 국제 저널 및 주요 학회(CHI, CSCW, RecSys 등) 논문 게재를 통한 학술적 검증 및 기술 신뢰성 확보</w:t>
      </w:r>
    </w:p>
    <w:p>
      <w:pPr>
        <w:spacing w:after="120" w:line="360" w:lineRule="auto"/>
      </w:pPr>
      <w:r>
        <w:rPr>
          <w:rFonts w:ascii="맑은 고딕" w:hAnsi="맑은 고딕" w:eastAsia="맑은 고딕"/>
          <w:sz w:val="22"/>
        </w:rPr>
        <w:t>③ 원천 기술 확보: 정육점 도메인 특화 AI 모델 및 소상공인 UX 프레임워크를 원천 기술로 확보하여 타 산업 확장 시 재활용</w:t>
      </w:r>
    </w:p>
    <w:p>
      <w:pPr>
        <w:pStyle w:val="Heading2"/>
        <w:jc w:val="left"/>
      </w:pPr>
      <w:r>
        <w:rPr>
          <w:rFonts w:ascii="맑은 고딕" w:hAnsi="맑은 고딕" w:eastAsia="맑은 고딕"/>
        </w:rPr>
        <w:t>4.3 경제적 기대효과</w:t>
      </w:r>
    </w:p>
    <w:p>
      <w:pPr>
        <w:spacing w:after="120" w:line="360" w:lineRule="auto"/>
      </w:pPr>
      <w:r>
        <w:rPr>
          <w:rFonts w:ascii="맑은 고딕" w:hAnsi="맑은 고딕" w:eastAsia="맑은 고딕"/>
          <w:sz w:val="22"/>
        </w:rPr>
        <w:t>① 매장 매출 향상: 본 솔루션 도입 매장의 평균 매출 10~15% 향상 예상 (RCT 실험을 통해 정량 검증)</w:t>
      </w:r>
    </w:p>
    <w:p>
      <w:pPr>
        <w:spacing w:after="120" w:line="360" w:lineRule="auto"/>
      </w:pPr>
      <w:r>
        <w:rPr>
          <w:rFonts w:ascii="맑은 고딕" w:hAnsi="맑은 고딕" w:eastAsia="맑은 고딕"/>
          <w:sz w:val="22"/>
        </w:rPr>
        <w:t>② 소상공인 마케팅 비용 절감: 기존 문자 마케팅 대행 대비 50% 이상 비용 절감 및 효과 증대</w:t>
      </w:r>
    </w:p>
    <w:p>
      <w:pPr>
        <w:spacing w:after="120" w:line="360" w:lineRule="auto"/>
      </w:pPr>
      <w:r>
        <w:rPr>
          <w:rFonts w:ascii="맑은 고딕" w:hAnsi="맑은 고딕" w:eastAsia="맑은 고딕"/>
          <w:sz w:val="22"/>
        </w:rPr>
        <w:t>③ 고용 창출: 2031년까지 개발·운영·영업 인력 60명 이상 직접 고용 예상</w:t>
      </w:r>
    </w:p>
    <w:p>
      <w:pPr>
        <w:spacing w:after="120" w:line="360" w:lineRule="auto"/>
      </w:pPr>
      <w:r>
        <w:rPr>
          <w:rFonts w:ascii="맑은 고딕" w:hAnsi="맑은 고딕" w:eastAsia="맑은 고딕"/>
          <w:sz w:val="22"/>
        </w:rPr>
        <w:t>④ 후속 투자 유치: 본 과제 성과를 기반으로 Series A 이상 투자 유치 추진 (목표: 50억 원 이상)</w:t>
      </w:r>
    </w:p>
    <w:p>
      <w:pPr>
        <w:pStyle w:val="Heading2"/>
        <w:jc w:val="left"/>
      </w:pPr>
      <w:r>
        <w:rPr>
          <w:rFonts w:ascii="맑은 고딕" w:hAnsi="맑은 고딕" w:eastAsia="맑은 고딕"/>
        </w:rPr>
        <w:t>4.4 사회적 기대효과</w:t>
      </w:r>
    </w:p>
    <w:p>
      <w:pPr>
        <w:spacing w:after="120" w:line="360" w:lineRule="auto"/>
      </w:pPr>
      <w:r>
        <w:rPr>
          <w:rFonts w:ascii="맑은 고딕" w:hAnsi="맑은 고딕" w:eastAsia="맑은 고딕"/>
          <w:sz w:val="22"/>
        </w:rPr>
        <w:t>① AI 격차 해소: 기술·비용 장벽으로 AI 활용에서 소외된 소상공인에게 대기업 수준의 고객관리 역량 제공</w:t>
      </w:r>
    </w:p>
    <w:p>
      <w:pPr>
        <w:spacing w:after="120" w:line="360" w:lineRule="auto"/>
      </w:pPr>
      <w:r>
        <w:rPr>
          <w:rFonts w:ascii="맑은 고딕" w:hAnsi="맑은 고딕" w:eastAsia="맑은 고딕"/>
          <w:sz w:val="22"/>
        </w:rPr>
        <w:t>② 디지털 취약계층 포용: 50~60대 사장님도 쉽게 사용 가능한 AI 서비스를 통해 디지털 포용 실현</w:t>
      </w:r>
    </w:p>
    <w:p>
      <w:pPr>
        <w:spacing w:after="120" w:line="360" w:lineRule="auto"/>
      </w:pPr>
      <w:r>
        <w:rPr>
          <w:rFonts w:ascii="맑은 고딕" w:hAnsi="맑은 고딕" w:eastAsia="맑은 고딕"/>
          <w:sz w:val="22"/>
        </w:rPr>
        <w:t>③ 지역 경제 활성화: 동네 정육점의 경쟁력 강화를 통한 지역 상권 활성화 기여</w:t>
      </w:r>
    </w:p>
    <w:p>
      <w:pPr>
        <w:spacing w:after="120" w:line="360" w:lineRule="auto"/>
      </w:pPr>
      <w:r>
        <w:rPr>
          <w:rFonts w:ascii="맑은 고딕" w:hAnsi="맑은 고딕" w:eastAsia="맑은 고딕"/>
          <w:sz w:val="22"/>
        </w:rPr>
        <w:t>④ 소상공인 AI 활용 모범 사례: 본 사업의 성공 모델이 타 소상공인 산업의 AI 도입을 촉진하는 레퍼런스로 작용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