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Times New Roman" w:hAnsi="Times New Roman"/>
          <w:b/>
          <w:color w:val="1F4E78"/>
          <w:sz w:val="44"/>
        </w:rPr>
        <w:t>РАБОЧАЯ ПРОГРАММА ДИСЦИПЛИНЫ</w:t>
      </w:r>
    </w:p>
    <w:p>
      <w:pPr>
        <w:spacing w:before="320"/>
        <w:jc w:val="center"/>
      </w:pPr>
      <w:r>
        <w:rPr>
          <w:rFonts w:ascii="Times New Roman" w:hAnsi="Times New Roman"/>
          <w:sz w:val="28"/>
        </w:rPr>
        <w:t>«Прикладной анализ данных»</w:t>
      </w:r>
    </w:p>
    <w:p>
      <w:pPr>
        <w:spacing w:before="840"/>
        <w:jc w:val="center"/>
      </w:pPr>
      <w:r>
        <w:rPr>
          <w:i/>
          <w:color w:val="7F7F7F"/>
          <w:sz w:val="22"/>
        </w:rPr>
        <w:t>Проект для обсуждения и последующего переноса в шаблон образовательной организации</w:t>
      </w:r>
    </w:p>
    <w:p>
      <w:pPr>
        <w:spacing w:before="4000"/>
        <w:jc w:val="center"/>
      </w:pPr>
      <w:r>
        <w:rPr>
          <w:sz w:val="22"/>
        </w:rPr>
        <w:t>2026</w:t>
      </w:r>
    </w:p>
    <w:p>
      <w:r>
        <w:br w:type="page"/>
      </w:r>
    </w:p>
    <w:p>
      <w:pPr>
        <w:pStyle w:val="Heading1"/>
      </w:pPr>
      <w:r>
        <w:t>1. Общая характеристика дисциплины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4"/>
        <w:gridCol w:w="5014"/>
      </w:tblGrid>
      <w:tr>
        <w:trPr>
          <w:tblHeader w:val="true"/>
        </w:trPr>
        <w:tc>
          <w:tcPr>
            <w:tcW w:type="dxa" w:w="283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6633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Проектное значение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Наименование</w:t>
            </w:r>
          </w:p>
        </w:tc>
        <w:tc>
          <w:tcPr>
            <w:tcW w:type="dxa" w:w="66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Прикладной анализ данных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Образовательная программа</w:t>
            </w:r>
          </w:p>
        </w:tc>
        <w:tc>
          <w:tcPr>
            <w:tcW w:type="dxa" w:w="66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[указать ОПОП и направление подготовки]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Место в учебном плане</w:t>
            </w:r>
          </w:p>
        </w:tc>
        <w:tc>
          <w:tcPr>
            <w:tcW w:type="dxa" w:w="66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Профессиональный блок; дисциплина по выбору / обязательная дисциплина профиля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Курс и семестр</w:t>
            </w:r>
          </w:p>
        </w:tc>
        <w:tc>
          <w:tcPr>
            <w:tcW w:type="dxa" w:w="66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3–4 курс; [указать семестр]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Трудоёмкость</w:t>
            </w:r>
          </w:p>
        </w:tc>
        <w:tc>
          <w:tcPr>
            <w:tcW w:type="dxa" w:w="66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3 ЗЕТ, 108 часов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Продолжительность</w:t>
            </w:r>
          </w:p>
        </w:tc>
        <w:tc>
          <w:tcPr>
            <w:tcW w:type="dxa" w:w="66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16 учебных недель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Форма промежуточной аттестации</w:t>
            </w:r>
          </w:p>
        </w:tc>
        <w:tc>
          <w:tcPr>
            <w:tcW w:type="dxa" w:w="66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Дифференцированный зачёт с защитой проекта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Основная профессиональная роль</w:t>
            </w:r>
          </w:p>
        </w:tc>
        <w:tc>
          <w:tcPr>
            <w:tcW w:type="dxa" w:w="66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Data Analyst (аналитик данных)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Язык и инструменты реализации</w:t>
            </w:r>
          </w:p>
        </w:tc>
        <w:tc>
          <w:tcPr>
            <w:tcW w:type="dxa" w:w="66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Python и библиотеки анализа данных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29"/>
      </w:tblGrid>
      <w:tr>
        <w:tc>
          <w:tcPr>
            <w:tcW w:type="dxa" w:w="10029"/>
            <w:shd w:fill="EEF5F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b/>
              </w:rPr>
              <w:t xml:space="preserve">Методологическая основа. </w:t>
            </w:r>
            <w:r>
              <w:t>CRISP-DM используется внутри программы как способ организации сквозного аналитического проекта: понимание задачи, понимание данных, подготовка, моделирование, оценка и представление результата. Методология намеренно не вынесена в название дисциплины.</w:t>
            </w:r>
          </w:p>
        </w:tc>
      </w:tr>
    </w:tbl>
    <w:p>
      <w:pPr>
        <w:spacing w:after="0"/>
      </w:pPr>
    </w:p>
    <w:p>
      <w:pPr>
        <w:pStyle w:val="Heading2"/>
      </w:pPr>
      <w:r>
        <w:t>Основание для разработки</w:t>
      </w:r>
    </w:p>
    <w:p>
      <w:pPr>
        <w:pStyle w:val="ListBullet"/>
      </w:pPr>
      <w:r>
        <w:t>Компетентностно-ролевая модель специалистов в сфере искусственного интеллекта, версия 3.0.</w:t>
      </w:r>
    </w:p>
    <w:p>
      <w:pPr>
        <w:pStyle w:val="ListBullet"/>
      </w:pPr>
      <w:r>
        <w:t>Учебные материалы «Конструирование и разработка учебных дисциплин в сфере ИИ на основе компетентностно-ролевой модели», 2026 г.</w:t>
      </w:r>
    </w:p>
    <w:p>
      <w:pPr>
        <w:pStyle w:val="ListBullet"/>
      </w:pPr>
      <w:r>
        <w:t>Решение рабочей группы: основная профессиональная роль — Data Analyst; язык реализации учебных заданий — Python; CRISP-DM используется как внутренняя методология проектной работы.</w:t>
      </w:r>
    </w:p>
    <w:p>
      <w:pPr>
        <w:pStyle w:val="Heading1"/>
      </w:pPr>
      <w:r>
        <w:t>2. Цель и задачи дисциплины</w:t>
      </w:r>
    </w:p>
    <w:p>
      <w:pPr>
        <w:pStyle w:val="Heading2"/>
      </w:pPr>
      <w:r>
        <w:t>2.1. Цель</w:t>
      </w:r>
    </w:p>
    <w:p>
      <w:r>
        <w:t>Сформировать способность преобразовывать проблему предметной области в воспроизводимое аналитическое решение: определять требования к данным, исследовать и подготавливать данные, проверять гипотезы, строить и оценивать модели, а также формулировать обоснованные выводы и рекомендации.</w:t>
      </w:r>
    </w:p>
    <w:p>
      <w:pPr>
        <w:pStyle w:val="Heading2"/>
      </w:pPr>
      <w:r>
        <w:t>2.2. Задачи</w:t>
      </w:r>
    </w:p>
    <w:p>
      <w:pPr>
        <w:pStyle w:val="ListBullet"/>
      </w:pPr>
      <w:r>
        <w:t>научить отличать проблему предметной области, аналитическую задачу и задачу машинного обучения;</w:t>
      </w:r>
    </w:p>
    <w:p>
      <w:pPr>
        <w:pStyle w:val="ListBullet"/>
      </w:pPr>
      <w:r>
        <w:t>сформировать навыки аудита, очистки, преобразования и документирования данных;</w:t>
      </w:r>
    </w:p>
    <w:p>
      <w:pPr>
        <w:pStyle w:val="ListBullet"/>
      </w:pPr>
      <w:r>
        <w:t>освоить разведочный анализ и проверку статистических гипотез;</w:t>
      </w:r>
    </w:p>
    <w:p>
      <w:pPr>
        <w:pStyle w:val="ListBullet"/>
      </w:pPr>
      <w:r>
        <w:t>освоить воспроизводимую реализацию аналитического решения на Python;</w:t>
      </w:r>
    </w:p>
    <w:p>
      <w:pPr>
        <w:pStyle w:val="ListBullet"/>
      </w:pPr>
      <w:r>
        <w:t>научить строить baseline и сравнивать альтернативные модели по адекватной схеме валидации;</w:t>
      </w:r>
    </w:p>
    <w:p>
      <w:pPr>
        <w:pStyle w:val="ListBullet"/>
      </w:pPr>
      <w:r>
        <w:t>сформировать навыки интерпретации, визуального представления и защиты аналитических результатов;</w:t>
      </w:r>
    </w:p>
    <w:p>
      <w:pPr>
        <w:pStyle w:val="ListBullet"/>
      </w:pPr>
      <w:r>
        <w:t>развить критическое отношение к ограничениям данных, моделей и выводов.</w:t>
      </w:r>
    </w:p>
    <w:p>
      <w:pPr>
        <w:pStyle w:val="Heading1"/>
      </w:pPr>
      <w:r>
        <w:t>3. Место дисциплины в образовательной программе</w:t>
      </w:r>
    </w:p>
    <w:p>
      <w:r>
        <w:t>Дисциплина рекомендуется для старших курсов после освоения математического анализа, линейной алгебры, теории вероятностей и математической статистики, основ программирования, баз данных и основ технологий обработки данных.</w:t>
      </w:r>
    </w:p>
    <w:p>
      <w:r>
        <w:t>Входные требования описываются внутренними компетенциями ВК. Эти коды используются только в учебном проекте и не заменяют компетенции ОПОП.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7"/>
        <w:gridCol w:w="2507"/>
        <w:gridCol w:w="2507"/>
        <w:gridCol w:w="2507"/>
      </w:tblGrid>
      <w:tr>
        <w:trPr>
          <w:tblHeader w:val="true"/>
        </w:trPr>
        <w:tc>
          <w:tcPr>
            <w:tcW w:type="dxa" w:w="238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Компетенция</w:t>
            </w:r>
          </w:p>
        </w:tc>
        <w:tc>
          <w:tcPr>
            <w:tcW w:type="dxa" w:w="170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Индикаторы</w:t>
            </w:r>
          </w:p>
        </w:tc>
        <w:tc>
          <w:tcPr>
            <w:tcW w:type="dxa" w:w="459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Результат на входе</w:t>
            </w:r>
          </w:p>
        </w:tc>
        <w:tc>
          <w:tcPr>
            <w:tcW w:type="dxa" w:w="79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Уровень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ВК-1. Математический аппарат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ВК-1.1, ВК-1.2</w:t>
            </w:r>
          </w:p>
        </w:tc>
        <w:tc>
          <w:tcPr>
            <w:tcW w:type="dxa" w:w="4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Интерпретирует функцию, производную и градиент; выполняет базовые операции с векторами и матрицами.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Б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ВК-2. Вероятность и статистика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ВК-2.1, ВК-2.2</w:t>
            </w:r>
          </w:p>
        </w:tc>
        <w:tc>
          <w:tcPr>
            <w:tcW w:type="dxa" w:w="4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Интерпретирует описательные статистики, корреляцию, доверительный интервал и проверку гипотезы.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Б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ВК-3. Python для данных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ВК-3.1, ВК-3.2</w:t>
            </w:r>
          </w:p>
        </w:tc>
        <w:tc>
          <w:tcPr>
            <w:tcW w:type="dxa" w:w="4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Пишет небольшие функции, работает с файлами и повторно запускает ноутбук с базовыми операциями pandas/NumPy.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Б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ВК-4. Обработка данных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ВК-4.1, ВК-4.2</w:t>
            </w:r>
          </w:p>
        </w:tc>
        <w:tc>
          <w:tcPr>
            <w:tcW w:type="dxa" w:w="4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Объединяет и агрегирует таблицы, проверяет пропуски, составляет простой SQL-запрос и описывает происхождение данных.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Б</w:t>
            </w:r>
          </w:p>
        </w:tc>
      </w:tr>
    </w:tbl>
    <w:p>
      <w:pPr>
        <w:spacing w:after="0"/>
      </w:pPr>
    </w:p>
    <w:p>
      <w:r>
        <w:t>На первой неделе проводится диагностика без влияния на итоговую оценку. Нулевой результат по индикатору означает адресное повторение и короткую повторную проверку.</w:t>
      </w:r>
    </w:p>
    <w:p>
      <w:pPr>
        <w:pStyle w:val="Heading1"/>
      </w:pPr>
      <w:r>
        <w:t>4. Профессиональная роль и результат деятельности</w:t>
      </w:r>
    </w:p>
    <w:p>
      <w:r>
        <w:t>В соответствии с КРМ основной ролью является Data Analyst — специалист, который исследует данные, извлекает содержательные выводы, строит аналитические модели и представляет результаты для поддержки решений.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4"/>
        <w:gridCol w:w="5014"/>
      </w:tblGrid>
      <w:tr>
        <w:trPr>
          <w:tblHeader w:val="true"/>
        </w:trPr>
        <w:tc>
          <w:tcPr>
            <w:tcW w:type="dxa" w:w="249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Элемент</w:t>
            </w:r>
          </w:p>
        </w:tc>
        <w:tc>
          <w:tcPr>
            <w:tcW w:type="dxa" w:w="6973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Описание для дисциплины</w:t>
            </w:r>
          </w:p>
        </w:tc>
      </w:tr>
      <w:t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Типовые трудовые действия</w:t>
            </w:r>
          </w:p>
        </w:tc>
        <w:tc>
          <w:tcPr>
            <w:tcW w:type="dxa" w:w="697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Исследовательский анализ; оценка качества данных; статистический анализ; проверка гипотез; построение базовых прогнозных моделей; визуализация и подготовка отчёта</w:t>
            </w:r>
          </w:p>
        </w:tc>
      </w:tr>
      <w:t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Характерный результат</w:t>
            </w:r>
          </w:p>
        </w:tc>
        <w:tc>
          <w:tcPr>
            <w:tcW w:type="dxa" w:w="697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Воспроизводимый аналитический проект, содержащий постановку задачи, данные, код, обоснование методов, оценку качества, выводы и рекомендации</w:t>
            </w:r>
          </w:p>
        </w:tc>
      </w:tr>
      <w:t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Основной заказчик результата</w:t>
            </w:r>
          </w:p>
        </w:tc>
        <w:tc>
          <w:tcPr>
            <w:tcW w:type="dxa" w:w="697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Предметный специалист, руководитель проекта, владелец процесса или иной пользователь аналитического решения</w:t>
            </w:r>
          </w:p>
        </w:tc>
      </w:tr>
      <w:t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Граница роли</w:t>
            </w:r>
          </w:p>
        </w:tc>
        <w:tc>
          <w:tcPr>
            <w:tcW w:type="dxa" w:w="697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Дисциплина не ставит целью промышленное развёртывание ML-систем, разработку инфраструктуры больших данных или создание новых алгоритмов</w:t>
            </w:r>
          </w:p>
        </w:tc>
      </w:tr>
    </w:tbl>
    <w:p>
      <w:pPr>
        <w:spacing w:after="0"/>
      </w:pPr>
    </w:p>
    <w:p>
      <w:pPr>
        <w:pStyle w:val="Heading1"/>
      </w:pPr>
      <w:r>
        <w:t>5. Компетенции и планируемые результаты</w:t>
      </w:r>
    </w:p>
    <w:p>
      <w:r>
        <w:t>Коды КРМ используются как содержательная основа. При утверждении РПД их необходимо сопоставить с УК, ОПК, ПК и индикаторами конкретной ОПОП. Б — базовый, С — средний, П — продвинутый уровень.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6"/>
        <w:gridCol w:w="2006"/>
        <w:gridCol w:w="2006"/>
        <w:gridCol w:w="2006"/>
        <w:gridCol w:w="2006"/>
      </w:tblGrid>
      <w:tr>
        <w:trPr>
          <w:tblHeader w:val="true"/>
        </w:trPr>
        <w:tc>
          <w:tcPr>
            <w:tcW w:type="dxa" w:w="96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КРМ</w:t>
            </w:r>
          </w:p>
        </w:tc>
        <w:tc>
          <w:tcPr>
            <w:tcW w:type="dxa" w:w="204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Область</w:t>
            </w:r>
          </w:p>
        </w:tc>
        <w:tc>
          <w:tcPr>
            <w:tcW w:type="dxa" w:w="408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Планируемый результат</w:t>
            </w:r>
          </w:p>
        </w:tc>
        <w:tc>
          <w:tcPr>
            <w:tcW w:type="dxa" w:w="79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Уровень</w:t>
            </w:r>
          </w:p>
        </w:tc>
        <w:tc>
          <w:tcPr>
            <w:tcW w:type="dxa" w:w="158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Артефакт</w:t>
            </w:r>
          </w:p>
        </w:tc>
      </w:tr>
      <w:tr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LC-1</w:t>
            </w:r>
          </w:p>
        </w:tc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Понимание прикладной проблемы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LC-1.1 — формализует проблему, заинтересованные стороны, цель анализа, ограничения и критерии успешности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С</w:t>
            </w:r>
          </w:p>
        </w:tc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Паспорт аналитического проекта</w:t>
            </w:r>
          </w:p>
        </w:tc>
      </w:tr>
      <w:tr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BD-1</w:t>
            </w:r>
          </w:p>
        </w:tc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Исследование и подготовка данных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BD-1.2, 1.3, 1.5 — исследует данные, проверяет гипотезы, обосновывает очистку и формирует признаки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С</w:t>
            </w:r>
          </w:p>
        </w:tc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Паспорт данных, EDA и пайплайн подготовки</w:t>
            </w:r>
          </w:p>
        </w:tc>
      </w:tr>
      <w:tr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ML-2</w:t>
            </w:r>
          </w:p>
        </w:tc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Моделирование и оценка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ML-2.1–2.3 — выбирает тип задачи, строит baseline и альтернативные модели, применяет валидацию и метрики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С</w:t>
            </w:r>
          </w:p>
        </w:tc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Модели и отчёт об оценке качества</w:t>
            </w:r>
          </w:p>
        </w:tc>
      </w:tr>
    </w:tbl>
    <w:p>
      <w:pPr>
        <w:spacing w:after="0"/>
      </w:pPr>
    </w:p>
    <w:p>
      <w:pPr>
        <w:pStyle w:val="Heading1"/>
      </w:pPr>
      <w:r>
        <w:t>6. Трудоёмкость дисциплины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4"/>
        <w:gridCol w:w="5014"/>
      </w:tblGrid>
      <w:tr>
        <w:trPr>
          <w:tblHeader w:val="true"/>
        </w:trPr>
        <w:tc>
          <w:tcPr>
            <w:tcW w:type="dxa" w:w="6803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Вид учебной работы</w:t>
            </w:r>
          </w:p>
        </w:tc>
        <w:tc>
          <w:tcPr>
            <w:tcW w:type="dxa" w:w="266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Часы</w:t>
            </w:r>
          </w:p>
        </w:tc>
      </w:tr>
      <w:tr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Лекции</w:t>
            </w:r>
          </w:p>
        </w:tc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</w:tr>
      <w:tr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Лабораторные / практические занятия</w:t>
            </w:r>
          </w:p>
        </w:tc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30</w:t>
            </w:r>
          </w:p>
        </w:tc>
      </w:tr>
      <w:tr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Промежуточная аттестация: защита проекта</w:t>
            </w:r>
          </w:p>
        </w:tc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</w:tr>
      <w:tr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Самостоятельная работа, включая проект</w:t>
            </w:r>
          </w:p>
        </w:tc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59</w:t>
            </w:r>
          </w:p>
        </w:tc>
      </w:tr>
      <w:tr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Всего</w:t>
            </w:r>
          </w:p>
        </w:tc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108</w:t>
            </w:r>
          </w:p>
        </w:tc>
      </w:tr>
    </w:tbl>
    <w:p>
      <w:pPr>
        <w:spacing w:after="0"/>
      </w:pPr>
    </w:p>
    <w:p>
      <w:pPr>
        <w:pStyle w:val="Heading1"/>
      </w:pPr>
      <w:r>
        <w:t>7. Содержание и структура дисциплины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33"/>
        <w:gridCol w:w="1433"/>
        <w:gridCol w:w="1433"/>
        <w:gridCol w:w="1433"/>
        <w:gridCol w:w="1433"/>
        <w:gridCol w:w="1433"/>
        <w:gridCol w:w="1433"/>
      </w:tblGrid>
      <w:tr>
        <w:trPr>
          <w:tblHeader w:val="true"/>
        </w:trPr>
        <w:tc>
          <w:tcPr>
            <w:tcW w:type="dxa" w:w="215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3"/>
              </w:rPr>
              <w:t>Элемент дисциплины</w:t>
            </w:r>
          </w:p>
        </w:tc>
        <w:tc>
          <w:tcPr>
            <w:tcW w:type="dxa" w:w="345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3"/>
              </w:rPr>
              <w:t>Содержание (тематические сущности)</w:t>
            </w:r>
          </w:p>
        </w:tc>
        <w:tc>
          <w:tcPr>
            <w:tcW w:type="dxa" w:w="96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3"/>
              </w:rPr>
              <w:t>Форма занятия</w:t>
            </w:r>
          </w:p>
        </w:tc>
        <w:tc>
          <w:tcPr>
            <w:tcW w:type="dxa" w:w="79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3"/>
              </w:rPr>
              <w:t>Объём, а.ч.</w:t>
            </w:r>
          </w:p>
        </w:tc>
        <w:tc>
          <w:tcPr>
            <w:tcW w:type="dxa" w:w="102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3"/>
              </w:rPr>
              <w:t>Компетенция</w:t>
            </w:r>
          </w:p>
        </w:tc>
        <w:tc>
          <w:tcPr>
            <w:tcW w:type="dxa" w:w="85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3"/>
              </w:rPr>
              <w:t>Индикатор</w:t>
            </w:r>
          </w:p>
        </w:tc>
        <w:tc>
          <w:tcPr>
            <w:tcW w:type="dxa" w:w="45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3"/>
              </w:rPr>
              <w:t>Уровень</w:t>
            </w:r>
          </w:p>
        </w:tc>
      </w:tr>
      <w:t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Модуль 1. Постановка прикладной задачи</w:t>
            </w:r>
          </w:p>
        </w:tc>
        <w:tc>
          <w:tcPr>
            <w:tcW w:type="dxa" w:w="345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Проблема, аналитическая задача, стейкхолдеры, критерии успешности; полный цикл CRISP-DM</w:t>
            </w:r>
          </w:p>
        </w:tc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Л/П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2/4</w:t>
            </w:r>
          </w:p>
        </w:tc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LC-1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1.1</w:t>
            </w:r>
          </w:p>
        </w:tc>
        <w:tc>
          <w:tcPr>
            <w:tcW w:type="dxa" w:w="4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С</w:t>
            </w:r>
          </w:p>
        </w:tc>
      </w:tr>
      <w:t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Предметная и аналитическая постановка</w:t>
            </w:r>
          </w:p>
        </w:tc>
        <w:tc>
          <w:tcPr>
            <w:tcW w:type="dxa" w:w="345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Цель проекта, задачи, ограничения, пользователи результата, метрики успеха и требования к данным</w:t>
            </w:r>
          </w:p>
        </w:tc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Л/П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2/2</w:t>
            </w:r>
          </w:p>
        </w:tc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LC-1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1.1</w:t>
            </w:r>
          </w:p>
        </w:tc>
        <w:tc>
          <w:tcPr>
            <w:tcW w:type="dxa" w:w="4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С</w:t>
            </w:r>
          </w:p>
        </w:tc>
      </w:tr>
      <w:t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Паспорт аналитического проекта</w:t>
            </w:r>
          </w:p>
        </w:tc>
        <w:tc>
          <w:tcPr>
            <w:tcW w:type="dxa" w:w="345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Формализация кейса и подготовка паспорта проекта</w:t>
            </w:r>
          </w:p>
        </w:tc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П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2</w:t>
            </w:r>
          </w:p>
        </w:tc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LC-1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1.1</w:t>
            </w:r>
          </w:p>
        </w:tc>
        <w:tc>
          <w:tcPr>
            <w:tcW w:type="dxa" w:w="4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С</w:t>
            </w:r>
          </w:p>
        </w:tc>
      </w:tr>
      <w:t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Модуль 2. Понимание и исследование данных</w:t>
            </w:r>
          </w:p>
        </w:tc>
        <w:tc>
          <w:tcPr>
            <w:tcW w:type="dxa" w:w="345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Источники, качество, описательная статистика, визуализация, одномерный и многомерный EDA</w:t>
            </w:r>
          </w:p>
        </w:tc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Л/П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4/6</w:t>
            </w:r>
          </w:p>
        </w:tc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BD-1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1.2</w:t>
            </w:r>
          </w:p>
        </w:tc>
        <w:tc>
          <w:tcPr>
            <w:tcW w:type="dxa" w:w="4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С</w:t>
            </w:r>
          </w:p>
        </w:tc>
      </w:tr>
      <w:t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Источники и паспорт данных</w:t>
            </w:r>
          </w:p>
        </w:tc>
        <w:tc>
          <w:tcPr>
            <w:tcW w:type="dxa" w:w="345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Единица наблюдения, гранулярность, словарь и происхождение данных; первичный аудит в Python</w:t>
            </w:r>
          </w:p>
        </w:tc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Л/П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2/2</w:t>
            </w:r>
          </w:p>
        </w:tc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BD-1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1.2</w:t>
            </w:r>
          </w:p>
        </w:tc>
        <w:tc>
          <w:tcPr>
            <w:tcW w:type="dxa" w:w="4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С</w:t>
            </w:r>
          </w:p>
        </w:tc>
      </w:tr>
      <w:t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Разведочный анализ данных</w:t>
            </w:r>
          </w:p>
        </w:tc>
        <w:tc>
          <w:tcPr>
            <w:tcW w:type="dxa" w:w="345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Описательная статистика, распределения, связи признаков, визуализация и проверка разведочных гипотез</w:t>
            </w:r>
          </w:p>
        </w:tc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Л/П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2/4</w:t>
            </w:r>
          </w:p>
        </w:tc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BD-1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1.2</w:t>
            </w:r>
          </w:p>
        </w:tc>
        <w:tc>
          <w:tcPr>
            <w:tcW w:type="dxa" w:w="4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С</w:t>
            </w:r>
          </w:p>
        </w:tc>
      </w:tr>
      <w:t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Модуль 3. Подготовка данных</w:t>
            </w:r>
          </w:p>
        </w:tc>
        <w:tc>
          <w:tcPr>
            <w:tcW w:type="dxa" w:w="345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Очистка, преобразование и конструирование признаков; предотвращение утечки данных</w:t>
            </w:r>
          </w:p>
        </w:tc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Л/П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2/8</w:t>
            </w:r>
          </w:p>
        </w:tc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BD-1; ML-2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1.3, 1.5; 2.2</w:t>
            </w:r>
          </w:p>
        </w:tc>
        <w:tc>
          <w:tcPr>
            <w:tcW w:type="dxa" w:w="4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С</w:t>
            </w:r>
          </w:p>
        </w:tc>
      </w:tr>
      <w:t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Качество и очистка данных</w:t>
            </w:r>
          </w:p>
        </w:tc>
        <w:tc>
          <w:tcPr>
            <w:tcW w:type="dxa" w:w="345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Пропуски, дубликаты, выбросы, неверные типы и противоречивые значения</w:t>
            </w:r>
          </w:p>
        </w:tc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Л/П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2/4</w:t>
            </w:r>
          </w:p>
        </w:tc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BD-1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1.3</w:t>
            </w:r>
          </w:p>
        </w:tc>
        <w:tc>
          <w:tcPr>
            <w:tcW w:type="dxa" w:w="4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С</w:t>
            </w:r>
          </w:p>
        </w:tc>
      </w:tr>
      <w:t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Преобразование признаков</w:t>
            </w:r>
          </w:p>
        </w:tc>
        <w:tc>
          <w:tcPr>
            <w:tcW w:type="dxa" w:w="345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Кодирование категорий, масштабирование, отбор и создание признаков, воспроизводимый пайплайн</w:t>
            </w:r>
          </w:p>
        </w:tc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П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4</w:t>
            </w:r>
          </w:p>
        </w:tc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BD-1; ML-2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1.5; 2.2</w:t>
            </w:r>
          </w:p>
        </w:tc>
        <w:tc>
          <w:tcPr>
            <w:tcW w:type="dxa" w:w="4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С</w:t>
            </w:r>
          </w:p>
        </w:tc>
      </w:tr>
      <w:t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Модуль 4. Моделирование</w:t>
            </w:r>
          </w:p>
        </w:tc>
        <w:tc>
          <w:tcPr>
            <w:tcW w:type="dxa" w:w="345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Типы аналитических задач, baseline, регрессия, классификация, кластеризация и интерпретация</w:t>
            </w:r>
          </w:p>
        </w:tc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Л/П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4/8</w:t>
            </w:r>
          </w:p>
        </w:tc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ML-2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2.1, 2.2</w:t>
            </w:r>
          </w:p>
        </w:tc>
        <w:tc>
          <w:tcPr>
            <w:tcW w:type="dxa" w:w="4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С</w:t>
            </w:r>
          </w:p>
        </w:tc>
      </w:tr>
      <w:t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Тип задачи и baseline</w:t>
            </w:r>
          </w:p>
        </w:tc>
        <w:tc>
          <w:tcPr>
            <w:tcW w:type="dxa" w:w="345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Выбор типа задачи с учётом прикладной цели; построение простого базового решения</w:t>
            </w:r>
          </w:p>
        </w:tc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Л/П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2/2</w:t>
            </w:r>
          </w:p>
        </w:tc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ML-2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2.1</w:t>
            </w:r>
          </w:p>
        </w:tc>
        <w:tc>
          <w:tcPr>
            <w:tcW w:type="dxa" w:w="4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С</w:t>
            </w:r>
          </w:p>
        </w:tc>
      </w:tr>
      <w:t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Регрессия и классификация</w:t>
            </w:r>
          </w:p>
        </w:tc>
        <w:tc>
          <w:tcPr>
            <w:tcW w:type="dxa" w:w="345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Линейные модели, деревья и ансамбли; подготовка признаков и настройка базовых параметров</w:t>
            </w:r>
          </w:p>
        </w:tc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Л/П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2/4</w:t>
            </w:r>
          </w:p>
        </w:tc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ML-2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2.1, 2.2</w:t>
            </w:r>
          </w:p>
        </w:tc>
        <w:tc>
          <w:tcPr>
            <w:tcW w:type="dxa" w:w="4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С</w:t>
            </w:r>
          </w:p>
        </w:tc>
      </w:tr>
      <w:t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Кластеризация и интерпретация</w:t>
            </w:r>
          </w:p>
        </w:tc>
        <w:tc>
          <w:tcPr>
            <w:tcW w:type="dxa" w:w="345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Сегментация объектов и объяснение результатов модели</w:t>
            </w:r>
          </w:p>
        </w:tc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П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2</w:t>
            </w:r>
          </w:p>
        </w:tc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ML-2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2.1</w:t>
            </w:r>
          </w:p>
        </w:tc>
        <w:tc>
          <w:tcPr>
            <w:tcW w:type="dxa" w:w="4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С</w:t>
            </w:r>
          </w:p>
        </w:tc>
      </w:tr>
      <w:t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Модуль 5. Оценка результатов</w:t>
            </w:r>
          </w:p>
        </w:tc>
        <w:tc>
          <w:tcPr>
            <w:tcW w:type="dxa" w:w="345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Разбиение данных, кросс-валидация, метрики, дисбаланс, сравнение моделей и анализ ошибок</w:t>
            </w:r>
          </w:p>
        </w:tc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Л/П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2/4</w:t>
            </w:r>
          </w:p>
        </w:tc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ML-2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2.3</w:t>
            </w:r>
          </w:p>
        </w:tc>
        <w:tc>
          <w:tcPr>
            <w:tcW w:type="dxa" w:w="4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С</w:t>
            </w:r>
          </w:p>
        </w:tc>
      </w:tr>
      <w:t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Валидация и метрики</w:t>
            </w:r>
          </w:p>
        </w:tc>
        <w:tc>
          <w:tcPr>
            <w:tcW w:type="dxa" w:w="345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Схемы проверки; метрики классификации и регрессии; выбор метрики под прикладную задачу</w:t>
            </w:r>
          </w:p>
        </w:tc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Л/П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2/2</w:t>
            </w:r>
          </w:p>
        </w:tc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ML-2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2.3</w:t>
            </w:r>
          </w:p>
        </w:tc>
        <w:tc>
          <w:tcPr>
            <w:tcW w:type="dxa" w:w="4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С</w:t>
            </w:r>
          </w:p>
        </w:tc>
      </w:tr>
      <w:t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Сравнение моделей</w:t>
            </w:r>
          </w:p>
        </w:tc>
        <w:tc>
          <w:tcPr>
            <w:tcW w:type="dxa" w:w="345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Анализ ошибок, переобучение, неопределённость и выбор итогового решения</w:t>
            </w:r>
          </w:p>
        </w:tc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П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2</w:t>
            </w:r>
          </w:p>
        </w:tc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ML-2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2.3</w:t>
            </w:r>
          </w:p>
        </w:tc>
        <w:tc>
          <w:tcPr>
            <w:tcW w:type="dxa" w:w="4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С</w:t>
            </w:r>
          </w:p>
        </w:tc>
      </w:tr>
      <w:t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Модуль 6. Аналитический продукт</w:t>
            </w:r>
          </w:p>
        </w:tc>
        <w:tc>
          <w:tcPr>
            <w:tcW w:type="dxa" w:w="345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Визуальное представление, ограничения, этика, рекомендации и план применения результата</w:t>
            </w:r>
          </w:p>
        </w:tc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Л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2</w:t>
            </w:r>
          </w:p>
        </w:tc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LC-1; BD-1; ML-2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1.1; 1.2; 2.3</w:t>
            </w:r>
          </w:p>
        </w:tc>
        <w:tc>
          <w:tcPr>
            <w:tcW w:type="dxa" w:w="4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С</w:t>
            </w:r>
          </w:p>
        </w:tc>
      </w:tr>
      <w:t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Дифференцированный зачёт</w:t>
            </w:r>
          </w:p>
        </w:tc>
        <w:tc>
          <w:tcPr>
            <w:tcW w:type="dxa" w:w="345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Презентация проекта, индивидуальные вопросы и проверка владения проектом</w:t>
            </w:r>
          </w:p>
        </w:tc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ДЗ</w:t>
            </w:r>
          </w:p>
        </w:tc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3</w:t>
            </w:r>
          </w:p>
        </w:tc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LC-1; BD-1; ML-2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1.1; 1.2, 1.3, 1.5; 2.1–2.3</w:t>
            </w:r>
          </w:p>
        </w:tc>
        <w:tc>
          <w:tcPr>
            <w:tcW w:type="dxa" w:w="4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С</w:t>
            </w:r>
          </w:p>
        </w:tc>
      </w:tr>
    </w:tbl>
    <w:p>
      <w:pPr>
        <w:spacing w:after="0"/>
      </w:pPr>
    </w:p>
    <w:p>
      <w:pPr>
        <w:pStyle w:val="Heading1"/>
      </w:pPr>
      <w:r>
        <w:t>8. Примерный календарно-тематический план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7"/>
        <w:gridCol w:w="2507"/>
        <w:gridCol w:w="2507"/>
        <w:gridCol w:w="2507"/>
      </w:tblGrid>
      <w:tr>
        <w:trPr>
          <w:tblHeader w:val="true"/>
        </w:trPr>
        <w:tc>
          <w:tcPr>
            <w:tcW w:type="dxa" w:w="68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Неделя</w:t>
            </w:r>
          </w:p>
        </w:tc>
        <w:tc>
          <w:tcPr>
            <w:tcW w:type="dxa" w:w="425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Тема</w:t>
            </w:r>
          </w:p>
        </w:tc>
        <w:tc>
          <w:tcPr>
            <w:tcW w:type="dxa" w:w="294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Практический результат</w:t>
            </w:r>
          </w:p>
        </w:tc>
        <w:tc>
          <w:tcPr>
            <w:tcW w:type="dxa" w:w="158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КРМ</w:t>
            </w:r>
          </w:p>
        </w:tc>
      </w:tr>
      <w:t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1</w:t>
            </w:r>
          </w:p>
        </w:tc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Входная диагностика. Роль аналитика данных. Полный цикл аналитического проекта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Диагностическая работа; выбор мини-кейса</w:t>
            </w:r>
          </w:p>
        </w:tc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ВК-1–ВК-4; LC-1</w:t>
            </w:r>
          </w:p>
        </w:tc>
      </w:tr>
      <w:t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2</w:t>
            </w:r>
          </w:p>
        </w:tc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Предметная проблема, заинтересованные стороны, аналитическая задача и критерии успешности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Паспорт проекта</w:t>
            </w:r>
          </w:p>
        </w:tc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LC-1.1</w:t>
            </w:r>
          </w:p>
        </w:tc>
      </w:tr>
      <w:t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3</w:t>
            </w:r>
          </w:p>
        </w:tc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Источники, единица наблюдения, гранулярность, словарь и происхождение данных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Паспорт данных</w:t>
            </w:r>
          </w:p>
        </w:tc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BD-1.2</w:t>
            </w:r>
          </w:p>
        </w:tc>
      </w:tr>
      <w:t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4</w:t>
            </w:r>
          </w:p>
        </w:tc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Загрузка и первичный аудит данных в Python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Автоматизированный профиль качества</w:t>
            </w:r>
          </w:p>
        </w:tc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BD-1.2</w:t>
            </w:r>
          </w:p>
        </w:tc>
      </w:tr>
      <w:t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5</w:t>
            </w:r>
          </w:p>
        </w:tc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Описательная статистика и одномерный EDA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Набор обоснованных визуализаций</w:t>
            </w:r>
          </w:p>
        </w:tc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BD-1.2</w:t>
            </w:r>
          </w:p>
        </w:tc>
      </w:tr>
      <w:t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6</w:t>
            </w:r>
          </w:p>
        </w:tc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Многомерный анализ и разведочные гипотезы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EDA-отчёт</w:t>
            </w:r>
          </w:p>
        </w:tc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BD-1.2</w:t>
            </w:r>
          </w:p>
        </w:tc>
      </w:tr>
      <w:t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7</w:t>
            </w:r>
          </w:p>
        </w:tc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Пропуски, дубликаты, выбросы и ошибки данных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Стратегия очистки</w:t>
            </w:r>
          </w:p>
        </w:tc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BD-1.3</w:t>
            </w:r>
          </w:p>
        </w:tc>
      </w:tr>
      <w:t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8</w:t>
            </w:r>
          </w:p>
        </w:tc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Преобразование и создание признаков. Утечка данных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Пайплайн подготовки</w:t>
            </w:r>
          </w:p>
        </w:tc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BD-1.5; ML-2.2</w:t>
            </w:r>
          </w:p>
        </w:tc>
      </w:tr>
      <w:t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9</w:t>
            </w:r>
          </w:p>
        </w:tc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Типы аналитических задач и baseline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Базовое решение</w:t>
            </w:r>
          </w:p>
        </w:tc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ML-2.1</w:t>
            </w:r>
          </w:p>
        </w:tc>
      </w:tr>
      <w:t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10</w:t>
            </w:r>
          </w:p>
        </w:tc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Регрессия и классификация на табличных данных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Две альтернативные модели</w:t>
            </w:r>
          </w:p>
        </w:tc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ML-2.1–2.3</w:t>
            </w:r>
          </w:p>
        </w:tc>
      </w:tr>
      <w:t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11</w:t>
            </w:r>
          </w:p>
        </w:tc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Кластеризация, сегментация и интерпретация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Сегментация либо интерпретация модели</w:t>
            </w:r>
          </w:p>
        </w:tc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ML-2.1</w:t>
            </w:r>
          </w:p>
        </w:tc>
      </w:tr>
      <w:t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12</w:t>
            </w:r>
          </w:p>
        </w:tc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Схемы валидации и выбор метрик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Протокол валидации</w:t>
            </w:r>
          </w:p>
        </w:tc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ML-2.3</w:t>
            </w:r>
          </w:p>
        </w:tc>
      </w:tr>
      <w:t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13</w:t>
            </w:r>
          </w:p>
        </w:tc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Сравнение моделей, анализ ошибок и неопределённости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Отчёт о сравнении</w:t>
            </w:r>
          </w:p>
        </w:tc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ML-2.3</w:t>
            </w:r>
          </w:p>
        </w:tc>
      </w:tr>
      <w:t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14</w:t>
            </w:r>
          </w:p>
        </w:tc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Визуальное представление и аналитический отчёт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Черновик аналитического продукта</w:t>
            </w:r>
          </w:p>
        </w:tc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BD-1; ML-2</w:t>
            </w:r>
          </w:p>
        </w:tc>
      </w:tr>
      <w:t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15</w:t>
            </w:r>
          </w:p>
        </w:tc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Ограничения, этика, рекомендации и план применения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Финальная редакция проекта</w:t>
            </w:r>
          </w:p>
        </w:tc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LC-1.1</w:t>
            </w:r>
          </w:p>
        </w:tc>
      </w:tr>
      <w:tr>
        <w:tc>
          <w:tcPr>
            <w:tcW w:type="dxa" w:w="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16</w:t>
            </w:r>
          </w:p>
        </w:tc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Защита и ретроспектива проектного цикла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Презентация и индивидуальная защита</w:t>
            </w:r>
          </w:p>
        </w:tc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LC-1; BD-1; ML-2</w:t>
            </w:r>
          </w:p>
        </w:tc>
      </w:tr>
    </w:tbl>
    <w:p>
      <w:pPr>
        <w:spacing w:after="0"/>
      </w:pPr>
    </w:p>
    <w:p>
      <w:pPr>
        <w:pStyle w:val="Heading1"/>
      </w:pPr>
      <w:r>
        <w:t>9. Организация обучения</w:t>
      </w:r>
    </w:p>
    <w:p>
      <w:r>
        <w:t>Основной подход — обучение через последовательное создание аналитического продукта. Лабораторные работы являются контрольными точками одного проекта, а не набором несвязанных упражнений.</w:t>
      </w:r>
    </w:p>
    <w:p>
      <w:pPr>
        <w:pStyle w:val="ListBullet"/>
      </w:pPr>
      <w:r>
        <w:t>На лекции преподаватель вводит очередной этап анализа, методы и типовые ошибки; на лабораторной группа отрабатывает этот этап на общем учебном кейсе.</w:t>
      </w:r>
    </w:p>
    <w:p>
      <w:pPr>
        <w:pStyle w:val="ListBullet"/>
      </w:pPr>
      <w:r>
        <w:t>Параллельно каждый студент или пара применяет тот же этап к собственному проекту и постепенно собирает полный цикл от постановки задачи до рекомендаций.</w:t>
      </w:r>
    </w:p>
    <w:p>
      <w:pPr>
        <w:pStyle w:val="ListBullet"/>
      </w:pPr>
      <w:r>
        <w:t>Проект выполняется индивидуально или в паре; при парной работе ведется журнал вклада, а защита остается индивидуальной.</w:t>
      </w:r>
    </w:p>
    <w:p>
      <w:pPr>
        <w:pStyle w:val="ListBullet"/>
      </w:pPr>
      <w:r>
        <w:t>Технологические инструкции выносятся в короткие демонстрации и справочные материалы; аудиторное время используется для выбора и обоснования аналитических решений.</w:t>
      </w:r>
    </w:p>
    <w:p>
      <w:pPr>
        <w:pStyle w:val="ListBullet"/>
      </w:pPr>
      <w:r>
        <w:t>Для разных направлений подготовки применяется единая рубрика, но разные предметные кейсы и показатели результата.</w:t>
      </w:r>
    </w:p>
    <w:p>
      <w:pPr>
        <w:pStyle w:val="Heading1"/>
      </w:pPr>
      <w:r>
        <w:t>10. Фонд оценочных средств</w:t>
      </w:r>
    </w:p>
    <w:p>
      <w:pPr>
        <w:pStyle w:val="Heading2"/>
      </w:pPr>
      <w:r>
        <w:t>10.1. Контрольные точки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7"/>
        <w:gridCol w:w="2507"/>
        <w:gridCol w:w="2507"/>
        <w:gridCol w:w="2507"/>
      </w:tblGrid>
      <w:tr>
        <w:trPr>
          <w:tblHeader w:val="true"/>
        </w:trPr>
        <w:tc>
          <w:tcPr>
            <w:tcW w:type="dxa" w:w="232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Форма контроля</w:t>
            </w:r>
          </w:p>
        </w:tc>
        <w:tc>
          <w:tcPr>
            <w:tcW w:type="dxa" w:w="209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Индикаторы</w:t>
            </w:r>
          </w:p>
        </w:tc>
        <w:tc>
          <w:tcPr>
            <w:tcW w:type="dxa" w:w="419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Проверяемый результат</w:t>
            </w:r>
          </w:p>
        </w:tc>
        <w:tc>
          <w:tcPr>
            <w:tcW w:type="dxa" w:w="85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Баллы</w:t>
            </w:r>
          </w:p>
        </w:tc>
      </w:tr>
      <w:t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Входная диагностика</w:t>
            </w:r>
          </w:p>
        </w:tc>
        <w:tc>
          <w:tcPr>
            <w:tcW w:type="dxa" w:w="20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ВК-1.1–ВК-4.2</w:t>
            </w:r>
          </w:p>
        </w:tc>
        <w:tc>
          <w:tcPr>
            <w:tcW w:type="dxa" w:w="419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Проверка пререквизитов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0</w:t>
            </w:r>
          </w:p>
        </w:tc>
      </w:tr>
      <w:t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КИМ-1. Паспорт проекта</w:t>
            </w:r>
          </w:p>
        </w:tc>
        <w:tc>
          <w:tcPr>
            <w:tcW w:type="dxa" w:w="20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LC-1.1</w:t>
            </w:r>
          </w:p>
        </w:tc>
        <w:tc>
          <w:tcPr>
            <w:tcW w:type="dxa" w:w="419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Проблема, решение, критерии и требования к данным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10</w:t>
            </w:r>
          </w:p>
        </w:tc>
      </w:tr>
      <w:t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КИМ-2. EDA</w:t>
            </w:r>
          </w:p>
        </w:tc>
        <w:tc>
          <w:tcPr>
            <w:tcW w:type="dxa" w:w="20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BD-1.2</w:t>
            </w:r>
          </w:p>
        </w:tc>
        <w:tc>
          <w:tcPr>
            <w:tcW w:type="dxa" w:w="419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Паспорт данных, визуализации, гипотезы и выводы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15</w:t>
            </w:r>
          </w:p>
        </w:tc>
      </w:tr>
      <w:t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КИМ-3. Подготовка данных</w:t>
            </w:r>
          </w:p>
        </w:tc>
        <w:tc>
          <w:tcPr>
            <w:tcW w:type="dxa" w:w="20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BD-1.3; BD-1.5; ML-2.2</w:t>
            </w:r>
          </w:p>
        </w:tc>
        <w:tc>
          <w:tcPr>
            <w:tcW w:type="dxa" w:w="419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Очистка, признаки и воспроизводимый пайплайн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15</w:t>
            </w:r>
          </w:p>
        </w:tc>
      </w:tr>
      <w:t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КИМ-4. Моделирование</w:t>
            </w:r>
          </w:p>
        </w:tc>
        <w:tc>
          <w:tcPr>
            <w:tcW w:type="dxa" w:w="20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ML-2.1; ML-2.2</w:t>
            </w:r>
          </w:p>
        </w:tc>
        <w:tc>
          <w:tcPr>
            <w:tcW w:type="dxa" w:w="419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Baseline, альтернативные модели и журнал экспериментов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20</w:t>
            </w:r>
          </w:p>
        </w:tc>
      </w:tr>
      <w:t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КИМ-5. Оценка</w:t>
            </w:r>
          </w:p>
        </w:tc>
        <w:tc>
          <w:tcPr>
            <w:tcW w:type="dxa" w:w="20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ML-2.3</w:t>
            </w:r>
          </w:p>
        </w:tc>
        <w:tc>
          <w:tcPr>
            <w:tcW w:type="dxa" w:w="419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Валидация, метрики, анализ ошибок и ограничения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15</w:t>
            </w:r>
          </w:p>
        </w:tc>
      </w:tr>
      <w:t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КИМ-6. Итоговый продукт</w:t>
            </w:r>
          </w:p>
        </w:tc>
        <w:tc>
          <w:tcPr>
            <w:tcW w:type="dxa" w:w="20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Все целевые</w:t>
            </w:r>
          </w:p>
        </w:tc>
        <w:tc>
          <w:tcPr>
            <w:tcW w:type="dxa" w:w="419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Репозиторий, отчёт, презентация и тезисы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15</w:t>
            </w:r>
          </w:p>
        </w:tc>
      </w:tr>
      <w:t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Дифференцированный зачёт</w:t>
            </w:r>
          </w:p>
        </w:tc>
        <w:tc>
          <w:tcPr>
            <w:tcW w:type="dxa" w:w="20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Все целевые</w:t>
            </w:r>
          </w:p>
        </w:tc>
        <w:tc>
          <w:tcPr>
            <w:tcW w:type="dxa" w:w="419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Индивидуальная защита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10</w:t>
            </w:r>
          </w:p>
        </w:tc>
      </w:tr>
    </w:tbl>
    <w:p>
      <w:pPr>
        <w:spacing w:after="0"/>
      </w:pPr>
    </w:p>
    <w:p>
      <w:pPr>
        <w:pStyle w:val="Heading2"/>
      </w:pPr>
      <w:r>
        <w:t>10.2. Карта баллов по индикаторам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4"/>
        <w:gridCol w:w="1114"/>
        <w:gridCol w:w="1114"/>
        <w:gridCol w:w="1114"/>
        <w:gridCol w:w="1114"/>
        <w:gridCol w:w="1114"/>
        <w:gridCol w:w="1114"/>
        <w:gridCol w:w="1114"/>
        <w:gridCol w:w="1114"/>
      </w:tblGrid>
      <w:tr>
        <w:trPr>
          <w:tblHeader w:val="true"/>
        </w:trPr>
        <w:tc>
          <w:tcPr>
            <w:tcW w:type="dxa" w:w="153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3"/>
              </w:rPr>
              <w:t>Средство</w:t>
            </w:r>
          </w:p>
        </w:tc>
        <w:tc>
          <w:tcPr>
            <w:tcW w:type="dxa" w:w="96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3"/>
              </w:rPr>
              <w:t>LC-1.1</w:t>
            </w:r>
          </w:p>
        </w:tc>
        <w:tc>
          <w:tcPr>
            <w:tcW w:type="dxa" w:w="96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3"/>
              </w:rPr>
              <w:t>BD-1.2</w:t>
            </w:r>
          </w:p>
        </w:tc>
        <w:tc>
          <w:tcPr>
            <w:tcW w:type="dxa" w:w="96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3"/>
              </w:rPr>
              <w:t>BD-1.3</w:t>
            </w:r>
          </w:p>
        </w:tc>
        <w:tc>
          <w:tcPr>
            <w:tcW w:type="dxa" w:w="96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3"/>
              </w:rPr>
              <w:t>BD-1.5</w:t>
            </w:r>
          </w:p>
        </w:tc>
        <w:tc>
          <w:tcPr>
            <w:tcW w:type="dxa" w:w="96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3"/>
              </w:rPr>
              <w:t>ML-2.1</w:t>
            </w:r>
          </w:p>
        </w:tc>
        <w:tc>
          <w:tcPr>
            <w:tcW w:type="dxa" w:w="96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3"/>
              </w:rPr>
              <w:t>ML-2.2</w:t>
            </w:r>
          </w:p>
        </w:tc>
        <w:tc>
          <w:tcPr>
            <w:tcW w:type="dxa" w:w="96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3"/>
              </w:rPr>
              <w:t>ML-2.3</w:t>
            </w:r>
          </w:p>
        </w:tc>
        <w:tc>
          <w:tcPr>
            <w:tcW w:type="dxa" w:w="102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3"/>
              </w:rPr>
              <w:t>Итого</w:t>
            </w:r>
          </w:p>
        </w:tc>
      </w:tr>
      <w:tr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КИМ-1</w:t>
            </w:r>
          </w:p>
        </w:tc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10</w:t>
            </w:r>
          </w:p>
        </w:tc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10</w:t>
            </w:r>
          </w:p>
        </w:tc>
      </w:tr>
      <w:tr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КИМ-2</w:t>
            </w:r>
          </w:p>
        </w:tc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15</w:t>
            </w:r>
          </w:p>
        </w:tc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15</w:t>
            </w:r>
          </w:p>
        </w:tc>
      </w:tr>
      <w:tr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КИМ-3</w:t>
            </w:r>
          </w:p>
        </w:tc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6</w:t>
            </w:r>
          </w:p>
        </w:tc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5</w:t>
            </w:r>
          </w:p>
        </w:tc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4</w:t>
            </w:r>
          </w:p>
        </w:tc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15</w:t>
            </w:r>
          </w:p>
        </w:tc>
      </w:tr>
      <w:tr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КИМ-4</w:t>
            </w:r>
          </w:p>
        </w:tc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12</w:t>
            </w:r>
          </w:p>
        </w:tc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8</w:t>
            </w:r>
          </w:p>
        </w:tc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20</w:t>
            </w:r>
          </w:p>
        </w:tc>
      </w:tr>
      <w:tr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КИМ-5</w:t>
            </w:r>
          </w:p>
        </w:tc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0</w:t>
            </w:r>
          </w:p>
        </w:tc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15</w:t>
            </w:r>
          </w:p>
        </w:tc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15</w:t>
            </w:r>
          </w:p>
        </w:tc>
      </w:tr>
      <w:tr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КИМ-6</w:t>
            </w:r>
          </w:p>
        </w:tc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2</w:t>
            </w:r>
          </w:p>
        </w:tc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2</w:t>
            </w:r>
          </w:p>
        </w:tc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2</w:t>
            </w:r>
          </w:p>
        </w:tc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2</w:t>
            </w:r>
          </w:p>
        </w:tc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2</w:t>
            </w:r>
          </w:p>
        </w:tc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2</w:t>
            </w:r>
          </w:p>
        </w:tc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3</w:t>
            </w:r>
          </w:p>
        </w:tc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15</w:t>
            </w:r>
          </w:p>
        </w:tc>
      </w:tr>
      <w:tr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Защита</w:t>
            </w:r>
          </w:p>
        </w:tc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2</w:t>
            </w:r>
          </w:p>
        </w:tc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1</w:t>
            </w:r>
          </w:p>
        </w:tc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1</w:t>
            </w:r>
          </w:p>
        </w:tc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1</w:t>
            </w:r>
          </w:p>
        </w:tc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1</w:t>
            </w:r>
          </w:p>
        </w:tc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1</w:t>
            </w:r>
          </w:p>
        </w:tc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3</w:t>
            </w:r>
          </w:p>
        </w:tc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10</w:t>
            </w:r>
          </w:p>
        </w:tc>
      </w:tr>
      <w:tr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Всего</w:t>
            </w:r>
          </w:p>
        </w:tc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14</w:t>
            </w:r>
          </w:p>
        </w:tc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18</w:t>
            </w:r>
          </w:p>
        </w:tc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9</w:t>
            </w:r>
          </w:p>
        </w:tc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8</w:t>
            </w:r>
          </w:p>
        </w:tc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15</w:t>
            </w:r>
          </w:p>
        </w:tc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15</w:t>
            </w:r>
          </w:p>
        </w:tc>
        <w:tc>
          <w:tcPr>
            <w:tcW w:type="dxa" w:w="9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21</w:t>
            </w:r>
          </w:p>
        </w:tc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100</w:t>
            </w:r>
          </w:p>
        </w:tc>
      </w:tr>
    </w:tbl>
    <w:p>
      <w:pPr>
        <w:spacing w:after="0"/>
      </w:pPr>
    </w:p>
    <w:p>
      <w:r>
        <w:t>Индикатор подтверждается при наборе не менее половины доступных баллов, наличии свидетельства в итоговом продукте и способности объяснить решение на защите.</w:t>
      </w:r>
    </w:p>
    <w:p>
      <w:pPr>
        <w:pStyle w:val="Heading2"/>
      </w:pPr>
      <w:r>
        <w:t>10.3. Уровни оценивания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4"/>
        <w:gridCol w:w="5014"/>
      </w:tblGrid>
      <w:tr>
        <w:trPr>
          <w:tblHeader w:val="true"/>
        </w:trPr>
        <w:tc>
          <w:tcPr>
            <w:tcW w:type="dxa" w:w="198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Уровень</w:t>
            </w:r>
          </w:p>
        </w:tc>
        <w:tc>
          <w:tcPr>
            <w:tcW w:type="dxa" w:w="7483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Обобщённый дескриптор</w:t>
            </w:r>
          </w:p>
        </w:tc>
      </w:tr>
      <w:t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0 — не достигнут</w:t>
            </w:r>
          </w:p>
        </w:tc>
        <w:tc>
          <w:tcPr>
            <w:tcW w:type="dxa" w:w="74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Артефакт отсутствует, не запускается или не позволяет проверить заявленный результат.</w:t>
            </w:r>
          </w:p>
        </w:tc>
      </w:tr>
      <w:t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Б — базовый</w:t>
            </w:r>
          </w:p>
        </w:tc>
        <w:tc>
          <w:tcPr>
            <w:tcW w:type="dxa" w:w="74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Студент выполняет действие на типовой задаче с использованием предложенного алгоритма и корректно фиксирует результат.</w:t>
            </w:r>
          </w:p>
        </w:tc>
      </w:tr>
      <w:t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С — средний</w:t>
            </w:r>
          </w:p>
        </w:tc>
        <w:tc>
          <w:tcPr>
            <w:tcW w:type="dxa" w:w="74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Самостоятельно выбирает подход, обосновывает его с учётом данных и задачи, проверяет качество результата.</w:t>
            </w:r>
          </w:p>
        </w:tc>
      </w:tr>
      <w:t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П — продвинутый</w:t>
            </w:r>
          </w:p>
        </w:tc>
        <w:tc>
          <w:tcPr>
            <w:tcW w:type="dxa" w:w="74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Сравнивает альтернативы, анализирует неопределённость и ограничения, предлагает улучшение или адаптацию решения.</w:t>
            </w:r>
          </w:p>
        </w:tc>
      </w:tr>
    </w:tbl>
    <w:p>
      <w:pPr>
        <w:spacing w:after="0"/>
      </w:pPr>
    </w:p>
    <w:p>
      <w:pPr>
        <w:pStyle w:val="Heading2"/>
      </w:pPr>
      <w:r>
        <w:t>10.4. Обязательные условия зачёта</w:t>
      </w:r>
    </w:p>
    <w:p>
      <w:pPr>
        <w:pStyle w:val="ListBullet"/>
      </w:pPr>
      <w:r>
        <w:t>не менее 50 баллов из 100;</w:t>
      </w:r>
    </w:p>
    <w:p>
      <w:pPr>
        <w:pStyle w:val="ListBullet"/>
      </w:pPr>
      <w:r>
        <w:t>достижение минимального порога по каждому целевому индикатору;</w:t>
      </w:r>
    </w:p>
    <w:p>
      <w:pPr>
        <w:pStyle w:val="ListBullet"/>
      </w:pPr>
      <w:r>
        <w:t>наличие воспроизводимого проекта и индивидуальной защиты;</w:t>
      </w:r>
    </w:p>
    <w:p>
      <w:pPr>
        <w:pStyle w:val="ListBullet"/>
      </w:pPr>
      <w:r>
        <w:t>отсутствие неустранённой утечки целевой переменной;</w:t>
      </w:r>
    </w:p>
    <w:p>
      <w:pPr>
        <w:pStyle w:val="ListBullet"/>
      </w:pPr>
      <w:r>
        <w:t>корректная схема разбиения данных и обоснованная метрика;</w:t>
      </w:r>
    </w:p>
    <w:p>
      <w:pPr>
        <w:pStyle w:val="ListBullet"/>
      </w:pPr>
      <w:r>
        <w:t>выводы не должны подменять корреляцию причинно-следственным утверждением;</w:t>
      </w:r>
    </w:p>
    <w:p>
      <w:pPr>
        <w:pStyle w:val="ListBullet"/>
      </w:pPr>
      <w:r>
        <w:t>должны быть явно указаны ограничения данных, метода и области применимости результата.</w:t>
      </w:r>
    </w:p>
    <w:p>
      <w:pPr>
        <w:pStyle w:val="Heading2"/>
      </w:pPr>
      <w:r>
        <w:t>10.5. Перевод баллов в оценку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3"/>
        <w:gridCol w:w="3343"/>
        <w:gridCol w:w="3343"/>
      </w:tblGrid>
      <w:tr>
        <w:trPr>
          <w:tblHeader w:val="true"/>
        </w:trPr>
        <w:tc>
          <w:tcPr>
            <w:tcW w:type="dxa" w:w="238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Итоговый балл</w:t>
            </w:r>
          </w:p>
        </w:tc>
        <w:tc>
          <w:tcPr>
            <w:tcW w:type="dxa" w:w="170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Оценка</w:t>
            </w:r>
          </w:p>
        </w:tc>
        <w:tc>
          <w:tcPr>
            <w:tcW w:type="dxa" w:w="5386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Уровень освоения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86–100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отлично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70–85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хорошо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50–69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удовлетворительно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0–49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8"/>
              </w:rPr>
              <w:t>неудовлетворительно</w:t>
            </w:r>
          </w:p>
        </w:tc>
      </w:tr>
    </w:tbl>
    <w:p>
      <w:pPr>
        <w:spacing w:after="0"/>
      </w:pPr>
    </w:p>
    <w:p>
      <w:pPr>
        <w:pStyle w:val="Heading2"/>
      </w:pPr>
      <w:r>
        <w:t>10.6. Регламент дифференцированного зачёта</w:t>
      </w:r>
    </w:p>
    <w:p>
      <w:r>
        <w:t>За два рабочих дня до зачёта студент передаёт ссылку на итоговый commit, отчёт, презентацию из 6–8 содержательных слайдов, тезисный сценарий на 1–2 страницы, инструкцию запуска и журнал вклада для парной работы.</w:t>
      </w:r>
    </w:p>
    <w:p>
      <w:pPr>
        <w:pStyle w:val="ListBullet"/>
      </w:pPr>
      <w:r>
        <w:t>Групповая сессия для 20 человек занимает 180 минут.</w:t>
      </w:r>
    </w:p>
    <w:p>
      <w:pPr>
        <w:pStyle w:val="ListBullet"/>
      </w:pPr>
      <w:r>
        <w:t>Индивидуальный проект: 4 минуты доклада, 2 минуты вопросов и 2 минуты показа фрагмента проекта.</w:t>
      </w:r>
    </w:p>
    <w:p>
      <w:pPr>
        <w:pStyle w:val="ListBullet"/>
      </w:pPr>
      <w:r>
        <w:t>Парный проект: 6 минут общей презентации и по 4 минуты индивидуальных вопросов каждому участнику.</w:t>
      </w:r>
    </w:p>
    <w:p>
      <w:pPr>
        <w:pStyle w:val="ListBullet"/>
      </w:pPr>
      <w:r>
        <w:t>Полный текст речи не требуется; студент сдаёт тезисный сценарий с таймингом.</w:t>
      </w:r>
    </w:p>
    <w:p>
      <w:pPr>
        <w:pStyle w:val="ListBullet"/>
      </w:pPr>
      <w:r>
        <w:t>Преподаватель просит показать разбиение данных, пайплайн, расчёт метрики или другое короткое проверочное действие.</w:t>
      </w:r>
    </w:p>
    <w:p>
      <w:pPr>
        <w:pStyle w:val="ListBullet"/>
      </w:pPr>
      <w:r>
        <w:t>Защита оценивается индивидуально по LC-1.1, BD-1.2, BD-1.3, BD-1.5 и ML-2.1–ML-2.3.</w:t>
      </w:r>
    </w:p>
    <w:p>
      <w:pPr>
        <w:pStyle w:val="Heading1"/>
      </w:pPr>
      <w:r>
        <w:t>11. Пример комплексного задания</w:t>
      </w:r>
    </w:p>
    <w:p>
      <w:r>
        <w:t>Для выбранного набора данных предметной области разработать аналитическое решение, позволяющее поддержать конкретное управленческое, инженерное или исследовательское решение.</w:t>
      </w:r>
    </w:p>
    <w:p>
      <w:pPr>
        <w:pStyle w:val="ListNumber"/>
      </w:pPr>
      <w:r>
        <w:t>Определить заказчика, решение, предметную проблему и измеримый критерий успешности.</w:t>
      </w:r>
    </w:p>
    <w:p>
      <w:pPr>
        <w:pStyle w:val="ListNumber"/>
      </w:pPr>
      <w:r>
        <w:t>Сформулировать аналитическую задачу и требования к составу, периоду, гранулярности и качеству данных.</w:t>
      </w:r>
    </w:p>
    <w:p>
      <w:pPr>
        <w:pStyle w:val="ListNumber"/>
      </w:pPr>
      <w:r>
        <w:t>Подготовить словарь данных и провести аудит качества.</w:t>
      </w:r>
    </w:p>
    <w:p>
      <w:pPr>
        <w:pStyle w:val="ListNumber"/>
      </w:pPr>
      <w:r>
        <w:t>Выполнить разведочный анализ и проверить не менее трёх содержательных гипотез.</w:t>
      </w:r>
    </w:p>
    <w:p>
      <w:pPr>
        <w:pStyle w:val="ListNumber"/>
      </w:pPr>
      <w:r>
        <w:t>Разработать воспроизводимый процесс очистки, преобразования и формирования признаков.</w:t>
      </w:r>
    </w:p>
    <w:p>
      <w:pPr>
        <w:pStyle w:val="ListNumber"/>
      </w:pPr>
      <w:r>
        <w:t>Построить baseline и не менее двух альтернативных моделей, соответствующих типу задачи.</w:t>
      </w:r>
    </w:p>
    <w:p>
      <w:pPr>
        <w:pStyle w:val="ListNumber"/>
      </w:pPr>
      <w:r>
        <w:t>Обосновать схему валидации и метрики; провести сравнение и анализ ошибок.</w:t>
      </w:r>
    </w:p>
    <w:p>
      <w:pPr>
        <w:pStyle w:val="ListNumber"/>
      </w:pPr>
      <w:r>
        <w:t>Сформулировать выводы, ограничения и рекомендации для заказчика.</w:t>
      </w:r>
    </w:p>
    <w:p>
      <w:pPr>
        <w:pStyle w:val="ListNumber"/>
      </w:pPr>
      <w:r>
        <w:t>Подготовить план применения результата и контроля его качества после внедрения.</w:t>
      </w:r>
    </w:p>
    <w:p>
      <w:pPr>
        <w:pStyle w:val="ListNumber"/>
      </w:pPr>
      <w:r>
        <w:t>Представить проект в форме кода, отчёта и устной защиты.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29"/>
      </w:tblGrid>
      <w:tr>
        <w:tc>
          <w:tcPr>
            <w:tcW w:type="dxa" w:w="10029"/>
            <w:shd w:fill="EEF5F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b/>
              </w:rPr>
              <w:t xml:space="preserve">Примеры предметных кейсов. </w:t>
            </w:r>
            <w:r>
              <w:t>анализ факторов академического риска на обезличенных данных; прогнозирование спроса; выявление факторов оттока клиентов; анализ простоев оборудования; сегментация пользователей или организаций. Конкретный кейс выбирается с учётом области профессиональной деятельности ОПОП.</w:t>
            </w:r>
          </w:p>
        </w:tc>
      </w:tr>
    </w:tbl>
    <w:p>
      <w:pPr>
        <w:spacing w:after="0"/>
      </w:pPr>
    </w:p>
    <w:p>
      <w:pPr>
        <w:pStyle w:val="Heading1"/>
      </w:pPr>
      <w:r>
        <w:t>12. Учебно-методическое и программное обеспечение</w:t>
      </w:r>
    </w:p>
    <w:p>
      <w:pPr>
        <w:pStyle w:val="Heading2"/>
      </w:pPr>
      <w:r>
        <w:t>12.1. Программные средства</w:t>
      </w:r>
    </w:p>
    <w:p>
      <w:pPr>
        <w:pStyle w:val="ListBullet"/>
      </w:pPr>
      <w:r>
        <w:t>Python 3; JupyterLab и/или среда разработки с поддержкой ноутбуков;</w:t>
      </w:r>
    </w:p>
    <w:p>
      <w:pPr>
        <w:pStyle w:val="ListBullet"/>
      </w:pPr>
      <w:r>
        <w:t>NumPy, pandas, SciPy или statsmodels;</w:t>
      </w:r>
    </w:p>
    <w:p>
      <w:pPr>
        <w:pStyle w:val="ListBullet"/>
      </w:pPr>
      <w:r>
        <w:t>Matplotlib, Seaborn и при необходимости интерактивная библиотека визуализации;</w:t>
      </w:r>
    </w:p>
    <w:p>
      <w:pPr>
        <w:pStyle w:val="ListBullet"/>
      </w:pPr>
      <w:r>
        <w:t>scikit-learn для построения базовых моделей и пайплайнов;</w:t>
      </w:r>
    </w:p>
    <w:p>
      <w:pPr>
        <w:pStyle w:val="ListBullet"/>
      </w:pPr>
      <w:r>
        <w:t>система контроля версий Git либо эквивалентный механизм фиксации изменений;</w:t>
      </w:r>
    </w:p>
    <w:p>
      <w:pPr>
        <w:pStyle w:val="ListBullet"/>
      </w:pPr>
      <w:r>
        <w:t>фиксированный преподавателем файл зависимостей и инструкция по запуску учебного окружения.</w:t>
      </w:r>
    </w:p>
    <w:p>
      <w:r>
        <w:t>Конкретные версии инструментов утверждаются перед началом семестра. Оценочный дескриптор должен проверять воспроизводимость и качество решения, а не использование одной конкретной библиотеки.</w:t>
      </w:r>
    </w:p>
    <w:p>
      <w:pPr>
        <w:pStyle w:val="Heading2"/>
      </w:pPr>
      <w:r>
        <w:t>12.2. Требования к учебным данным</w:t>
      </w:r>
    </w:p>
    <w:p>
      <w:pPr>
        <w:pStyle w:val="ListBullet"/>
      </w:pPr>
      <w:r>
        <w:t>законное основание и понятная лицензия на использование;</w:t>
      </w:r>
    </w:p>
    <w:p>
      <w:pPr>
        <w:pStyle w:val="ListBullet"/>
      </w:pPr>
      <w:r>
        <w:t>обезличивание персональных и чувствительных сведений;</w:t>
      </w:r>
    </w:p>
    <w:p>
      <w:pPr>
        <w:pStyle w:val="ListBullet"/>
      </w:pPr>
      <w:r>
        <w:t>паспорт набора данных: источник, период, единица наблюдения, признаки, ограничения;</w:t>
      </w:r>
    </w:p>
    <w:p>
      <w:pPr>
        <w:pStyle w:val="ListBullet"/>
      </w:pPr>
      <w:r>
        <w:t>наличие содержательных дефектов качества, допускающих учебный аудит, но не делающих задачу неразрешимой;</w:t>
      </w:r>
    </w:p>
    <w:p>
      <w:pPr>
        <w:pStyle w:val="ListBullet"/>
      </w:pPr>
      <w:r>
        <w:t>контрольная версия данных и эталонный сценарий запуска для проверки воспроизводимости.</w:t>
      </w:r>
    </w:p>
    <w:p>
      <w:pPr>
        <w:pStyle w:val="Heading1"/>
      </w:pPr>
      <w:r>
        <w:t>13. Темы, сознательно вынесенные за пределы дисциплины</w:t>
      </w:r>
    </w:p>
    <w:p>
      <w:pPr>
        <w:pStyle w:val="ListBullet"/>
      </w:pPr>
      <w:r>
        <w:t>полный базовый курс Python;</w:t>
      </w:r>
    </w:p>
    <w:p>
      <w:pPr>
        <w:pStyle w:val="ListBullet"/>
      </w:pPr>
      <w:r>
        <w:t>углублённый математический анализ и доказательная статистика;</w:t>
      </w:r>
    </w:p>
    <w:p>
      <w:pPr>
        <w:pStyle w:val="ListBullet"/>
      </w:pPr>
      <w:r>
        <w:t>глубокое обучение, компьютерное зрение и обработка естественного языка;</w:t>
      </w:r>
    </w:p>
    <w:p>
      <w:pPr>
        <w:pStyle w:val="ListBullet"/>
      </w:pPr>
      <w:r>
        <w:t>большие языковые модели и интеллектуальные агенты;</w:t>
      </w:r>
    </w:p>
    <w:p>
      <w:pPr>
        <w:pStyle w:val="ListBullet"/>
      </w:pPr>
      <w:r>
        <w:t>распределённая обработка больших данных;</w:t>
      </w:r>
    </w:p>
    <w:p>
      <w:pPr>
        <w:pStyle w:val="ListBullet"/>
      </w:pPr>
      <w:r>
        <w:t>промышленное развёртывание, MLOps и эксплуатационный мониторинг моделей;</w:t>
      </w:r>
    </w:p>
    <w:p>
      <w:pPr>
        <w:pStyle w:val="ListBullet"/>
      </w:pPr>
      <w:r>
        <w:t>полноценный курс BI-систем и проектирования хранилищ данных.</w:t>
      </w:r>
    </w:p>
    <w:p>
      <w:r>
        <w:t>Эти области могут использоваться в отдельных проектах подготовленных студентов, но не входят в обязательный минимум результатов обучения.</w:t>
      </w:r>
    </w:p>
    <w:p>
      <w:pPr>
        <w:pStyle w:val="Heading1"/>
      </w:pPr>
      <w:r>
        <w:t>14. Направления продолжения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4"/>
        <w:gridCol w:w="5014"/>
      </w:tblGrid>
      <w:tr>
        <w:trPr>
          <w:tblHeader w:val="true"/>
        </w:trPr>
        <w:tc>
          <w:tcPr>
            <w:tcW w:type="dxa" w:w="340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Следующая дисциплина</w:t>
            </w:r>
          </w:p>
        </w:tc>
        <w:tc>
          <w:tcPr>
            <w:tcW w:type="dxa" w:w="6066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Развиваемые результаты</w:t>
            </w:r>
          </w:p>
        </w:tc>
      </w:tr>
      <w:t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Статистические эксперименты и причинный анализ</w:t>
            </w:r>
          </w:p>
        </w:tc>
        <w:tc>
          <w:tcPr>
            <w:tcW w:type="dxa" w:w="606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A/B-тесты, мощность, множественные проверки, причинные методы</w:t>
            </w:r>
          </w:p>
        </w:tc>
      </w:tr>
      <w:t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Анализ и прогнозирование временных рядов</w:t>
            </w:r>
          </w:p>
        </w:tc>
        <w:tc>
          <w:tcPr>
            <w:tcW w:type="dxa" w:w="606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Временная валидация, сезонность, статистические и ML-модели прогноза</w:t>
            </w:r>
          </w:p>
        </w:tc>
      </w:tr>
      <w:t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Визуальная аналитика и BI</w:t>
            </w:r>
          </w:p>
        </w:tc>
        <w:tc>
          <w:tcPr>
            <w:tcW w:type="dxa" w:w="606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Системы показателей, дашборды и аналитическая коммуникация</w:t>
            </w:r>
          </w:p>
        </w:tc>
      </w:tr>
      <w:t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Прикладное машинное обучение</w:t>
            </w:r>
          </w:p>
        </w:tc>
        <w:tc>
          <w:tcPr>
            <w:tcW w:type="dxa" w:w="606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Продвинутые модели, настройка, интерпретируемость и калибровка</w:t>
            </w:r>
          </w:p>
        </w:tc>
      </w:tr>
      <w:t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Инженерия аналитических данных</w:t>
            </w:r>
          </w:p>
        </w:tc>
        <w:tc>
          <w:tcPr>
            <w:tcW w:type="dxa" w:w="606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Продвинутый SQL, витрины, тесты данных, DataOps</w:t>
            </w:r>
          </w:p>
        </w:tc>
      </w:tr>
      <w:tr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Отраслевая аналитика</w:t>
            </w:r>
          </w:p>
        </w:tc>
        <w:tc>
          <w:tcPr>
            <w:tcW w:type="dxa" w:w="606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Специализированные данные, метрики, ограничения и нормативные требования</w:t>
            </w:r>
          </w:p>
        </w:tc>
      </w:tr>
    </w:tbl>
    <w:p>
      <w:pPr>
        <w:spacing w:after="0"/>
      </w:pPr>
    </w:p>
    <w:p>
      <w:pPr>
        <w:pStyle w:val="Heading1"/>
      </w:pPr>
      <w:r>
        <w:t>15. Позиции, требующие решения рабочей группы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4"/>
        <w:gridCol w:w="5014"/>
      </w:tblGrid>
      <w:tr>
        <w:trPr>
          <w:tblHeader w:val="true"/>
        </w:trPr>
        <w:tc>
          <w:tcPr>
            <w:tcW w:type="dxa" w:w="294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Вопрос</w:t>
            </w:r>
          </w:p>
        </w:tc>
        <w:tc>
          <w:tcPr>
            <w:tcW w:type="dxa" w:w="652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Требуемое решение</w:t>
            </w:r>
          </w:p>
        </w:tc>
      </w:tr>
      <w:t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Образовательная программа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Указать ОПОП, направление и профиль</w:t>
            </w:r>
          </w:p>
        </w:tc>
      </w:tr>
      <w:t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Место в учебном плане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Определить курс, семестр и статус дисциплины</w:t>
            </w:r>
          </w:p>
        </w:tc>
      </w:tr>
      <w:t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Трудоёмкость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Подтвердить 3 ЗЕТ либо увеличить до 4 ЗЕТ</w:t>
            </w:r>
          </w:p>
        </w:tc>
      </w:tr>
      <w:t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Локальные компетенции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Сопоставить КРМ с УК/ОПК/ПК и индикаторами ОПОП</w:t>
            </w:r>
          </w:p>
        </w:tc>
      </w:tr>
      <w:t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Область профессиональной деятельности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Выбрать основную ОПД для кейсов</w:t>
            </w:r>
          </w:p>
        </w:tc>
      </w:tr>
      <w:t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Пререквизиты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Сверить с фактическим учебным планом и результатами предшествующих дисциплин</w:t>
            </w:r>
          </w:p>
        </w:tc>
      </w:tr>
      <w:t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Форма проекта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Индивидуально или в паре; защита индивидуальная</w:t>
            </w:r>
          </w:p>
        </w:tc>
      </w:tr>
      <w:t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Инфраструктура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AFC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Определить среду выполнения, хранение проектов и способ автоматической проверки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964" w:bottom="964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color w:val="7F7F7F"/>
        <w:sz w:val="16"/>
      </w:rPr>
      <w:t>Проект РПД «Прикладной анализ данных»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8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F4E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Times New Roman" w:hAnsi="Times New Roman" w:eastAsia="Times New Roman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Times New Roman" w:hAnsi="Times New Roman" w:eastAsia="Times New Roman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РПД «Прикладной анализ данных»</dc:title>
  <dc:subject>Рабочая программа дисциплины на один семестр</dc:subject>
  <dc:creator>Рабочая группа разработчиков дисциплины</dc:creator>
  <cp:keywords>РПД, анализ данных, Python, КРМ, CRISP-DM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