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Times New Roman" w:hAnsi="Times New Roman"/>
          <w:b/>
          <w:color w:val="1F4E78"/>
          <w:sz w:val="44"/>
        </w:rPr>
        <w:t>ВХОДНОЙ ПРОФИЛЬ ОБУЧАЮЩЕГОСЯ</w:t>
        <w:br/>
        <w:t>И ТРАЕКТОРИЯ ДАЛЬНЕЙШЕГО РАЗВИТИЯ</w:t>
      </w:r>
    </w:p>
    <w:p>
      <w:pPr>
        <w:spacing w:before="320"/>
        <w:jc w:val="center"/>
      </w:pPr>
      <w:r>
        <w:rPr>
          <w:rFonts w:ascii="Times New Roman" w:hAnsi="Times New Roman"/>
          <w:sz w:val="28"/>
        </w:rPr>
        <w:t>для дисциплины «Прикладной анализ данных»</w:t>
      </w:r>
    </w:p>
    <w:p>
      <w:pPr>
        <w:spacing w:before="840"/>
        <w:jc w:val="center"/>
      </w:pPr>
      <w:r>
        <w:rPr>
          <w:i/>
          <w:color w:val="7F7F7F"/>
          <w:sz w:val="22"/>
        </w:rPr>
        <w:t>Рабочий проект для обсуждения</w:t>
      </w:r>
    </w:p>
    <w:p>
      <w:pPr>
        <w:spacing w:before="4000"/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r>
        <w:t>Документ фиксирует знания и навыки, которые обучающийся должен получить до начала дисциплины, определяет границы повторения материала и предлагает направления дальнейшего обучения после её завершения. Он предназначен для согласования РПД с учебным планом, разработки входной диагностики и формирования индивидуальных рекомендаций студентам.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EEF5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Принцип построения. </w:t>
            </w:r>
            <w:r>
              <w:t>дисциплина не повторяет в полном объёме математический анализ, базовое программирование и основы технологий обработки данных. Эти знания активируются на практических задачах, а выявленные пробелы закрываются короткими выравнивающими материалами.</w:t>
            </w:r>
          </w:p>
        </w:tc>
      </w:tr>
    </w:tbl>
    <w:p>
      <w:pPr>
        <w:spacing w:after="0"/>
      </w:pPr>
    </w:p>
    <w:p>
      <w:pPr>
        <w:pStyle w:val="Heading2"/>
      </w:pPr>
      <w:r>
        <w:t>Основание для разработки</w:t>
      </w:r>
    </w:p>
    <w:p>
      <w:pPr>
        <w:pStyle w:val="ListBullet"/>
      </w:pPr>
      <w:r>
        <w:t>Компетентностно-ролевая модель специалистов в сфере искусственного интеллекта, версия 3.0.</w:t>
      </w:r>
    </w:p>
    <w:p>
      <w:pPr>
        <w:pStyle w:val="ListBullet"/>
      </w:pPr>
      <w:r>
        <w:t>Учебные материалы «Конструирование и разработка учебных дисциплин в сфере ИИ на основе компетентностно-ролевой модели», 2026 г.</w:t>
      </w:r>
    </w:p>
    <w:p>
      <w:pPr>
        <w:pStyle w:val="ListBullet"/>
      </w:pPr>
      <w:r>
        <w:t>Решение рабочей группы: основная профессиональная роль — Data Analyst; язык реализации учебных заданий — Python; CRISP-DM используется как внутренняя методология проектной работы.</w:t>
      </w:r>
    </w:p>
    <w:p>
      <w:pPr>
        <w:pStyle w:val="Heading1"/>
      </w:pPr>
      <w:r>
        <w:t>2. Рекомендуемое место в образовательной программе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70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Рекомендация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Уровень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3–4 курс бакалавриата или специалитета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Блок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Профессиональный блок; дисциплина по выбору либо обязательная дисциплина профиля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Продолжительность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Один семестр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Минимальная трудоёмкость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 ЗЕТ при условии сформированных основ Python и статистики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Основная роль КРМ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Data Analyst (аналитик данных)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Тип результата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Воспроизводимый аналитический проект, отчёт и рекомендации для принятия решения</w:t>
            </w:r>
          </w:p>
        </w:tc>
      </w:tr>
    </w:tbl>
    <w:p>
      <w:pPr>
        <w:spacing w:after="0"/>
      </w:pPr>
    </w:p>
    <w:p>
      <w:pPr>
        <w:pStyle w:val="Heading1"/>
      </w:pPr>
      <w:r>
        <w:t>3. Обязательные входные дисциплины и навыки</w:t>
      </w:r>
    </w:p>
    <w:p>
      <w:r>
        <w:t>Наименования дисциплин в конкретном учебном плане могут отличаться. Для допуска важен не факт изучения курса, а наличие проверяемых результатов обучения.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7"/>
        <w:gridCol w:w="2507"/>
        <w:gridCol w:w="2507"/>
        <w:gridCol w:w="2507"/>
      </w:tblGrid>
      <w:tr>
        <w:trPr>
          <w:tblHeader w:val="true"/>
        </w:trPr>
        <w:tc>
          <w:tcPr>
            <w:tcW w:type="dxa" w:w="187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Дисциплина / область</w:t>
            </w:r>
          </w:p>
        </w:tc>
        <w:tc>
          <w:tcPr>
            <w:tcW w:type="dxa" w:w="28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Студент знает</w:t>
            </w:r>
          </w:p>
        </w:tc>
        <w:tc>
          <w:tcPr>
            <w:tcW w:type="dxa" w:w="351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Студент умеет</w:t>
            </w:r>
          </w:p>
        </w:tc>
        <w:tc>
          <w:tcPr>
            <w:tcW w:type="dxa" w:w="124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Статус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Математический анализ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Функции одной и нескольких переменных; производная и частные производные; экстремумы; интеграл; представление о градиенте.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Интерпретировать скорость изменения показателя; понимать смысл функции потерь и направления оптимизации; читать математические обозначения в формулах моделей.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Обязательно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Линейная алгебра и аналитическая геометрия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Векторы и матрицы; линейные преобразования; системы линейных уравнений; скалярное произведение; базовое представление о собственных значениях.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Выполнять матричные операции; проверять размерности; интерпретировать данные как матрицу объектов и признаков; понимать геометрический смысл расстояния и проекции.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Обязательно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Теория вероятностей и математическая статистика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Случайная величина; распределение; среднее, медиана, дисперсия; выборка; корреляция; доверительный интервал; статистическая гипотеза.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Рассчитывать и интерпретировать описательные статистики; различать совокупность и выборку; формулировать нулевую и альтернативную гипотезы; осторожно интерпретировать корреляцию.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Обязательно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Основы программирования / Python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Типы данных; условия и циклы; функции; коллекции; модули; чтение и запись файлов; обработка исключений.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Написать и отладить небольшой скрипт; разбить решение на функции; подключить библиотеку; прочитать CSV/JSON; понять сообщение об ошибке.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Обязательно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Основы технологий обработки данных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Жизненный цикл данных; структурированные и неструктурированные данные; форматы CSV, JSON, XLSX; операции очистки и преобразования; понятия ETL/ELT и качества данных.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Выбрать подходящий формат; выявить пропуски, дубликаты и несоответствия типов; описать последовательность получения и преобразования данных.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Обязательно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Базы данных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Таблица, строка, атрибут, ключ, связь; нормализация на базовом уровне; SELECT, WHERE, JOIN, GROUP BY, агрегатные функции.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Получить аналитическую выборку из нескольких таблиц; проверить гранулярность данных; не допустить неконтролируемого размножения строк при соединении.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Желательно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Алгоритмы и структуры данных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Списки, словари, множества; последовательный поиск; сортировка; общее представление о вычислительной сложности.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Выбирать структуру данных под задачу; замечать явно неэффективные циклы и заменять их векторными либо библиотечными операциями.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Желательно</w:t>
            </w:r>
          </w:p>
        </w:tc>
      </w:tr>
      <w:tr>
        <w:tc>
          <w:tcPr>
            <w:tcW w:type="dxa" w:w="187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Основы предметной области</w:t>
            </w:r>
          </w:p>
        </w:tc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Термины и типовые показатели той области, на данных которой выполняется проект.</w:t>
            </w:r>
          </w:p>
        </w:tc>
        <w:tc>
          <w:tcPr>
            <w:tcW w:type="dxa" w:w="351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Объяснять смысл показателей, отличать техническую зависимость от содержательно значимой, обсуждать результат с предметным специалистом.</w:t>
            </w:r>
          </w:p>
        </w:tc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Обязательно для проекта</w:t>
            </w:r>
          </w:p>
        </w:tc>
      </w:tr>
    </w:tbl>
    <w:p>
      <w:pPr>
        <w:spacing w:after="0"/>
      </w:pPr>
    </w:p>
    <w:p>
      <w:pPr>
        <w:pStyle w:val="Heading1"/>
      </w:pPr>
      <w:r>
        <w:t>4. Что не следует заново преподавать в основном курсе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Уже сформировано</w:t>
            </w:r>
          </w:p>
        </w:tc>
        <w:tc>
          <w:tcPr>
            <w:tcW w:type="dxa" w:w="368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Как используется в анализе данных</w:t>
            </w:r>
          </w:p>
        </w:tc>
        <w:tc>
          <w:tcPr>
            <w:tcW w:type="dxa" w:w="340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Допустимый формат повторения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Производная, градиент, экстремум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Интуиция оптимизации и функции потерь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Краткое напоминание на примере, без повторного курса матанализа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Векторы и матрицы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Матрица признаков, расстояния, линейные модели, PCA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Шпаргалка по операциям и размерностям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Среднее, дисперсия, корреляция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EDA, сравнение групп, интерпретация разброса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Диагностическая задача и разбор типовых ошибок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Базовый Python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Автоматизация анализа и построение воспроизводимого пайплайна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Стартовый ноутбук и факультативный тренажёр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CSV/JSON/таблицы и основы ETL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Загрузка, проверка и преобразование набора данных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Одна вводная лабораторная работа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Базовый SQL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Формирование аналитической выборки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Краткая памятка; отдельный модуль только при отсутствии пререквизита</w:t>
            </w:r>
          </w:p>
        </w:tc>
      </w:tr>
    </w:tbl>
    <w:p>
      <w:pPr>
        <w:spacing w:after="0"/>
      </w:pPr>
    </w:p>
    <w:p>
      <w:pPr>
        <w:pStyle w:val="Heading1"/>
      </w:pPr>
      <w:r>
        <w:t>5. Входная диагностика</w:t>
      </w:r>
    </w:p>
    <w:p>
      <w:r>
        <w:t>Диагностика проводится в первую неделю, занимает 60–90 минут и не влияет на итоговую оценку. Её результат используется для назначения выравнивающих материалов.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7"/>
        <w:gridCol w:w="2507"/>
        <w:gridCol w:w="2507"/>
        <w:gridCol w:w="2507"/>
      </w:tblGrid>
      <w:tr>
        <w:trPr>
          <w:tblHeader w:val="true"/>
        </w:trPr>
        <w:tc>
          <w:tcPr>
            <w:tcW w:type="dxa" w:w="56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№</w:t>
            </w:r>
          </w:p>
        </w:tc>
        <w:tc>
          <w:tcPr>
            <w:tcW w:type="dxa" w:w="204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Область</w:t>
            </w:r>
          </w:p>
        </w:tc>
        <w:tc>
          <w:tcPr>
            <w:tcW w:type="dxa" w:w="589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Пример проверяемого действия</w:t>
            </w:r>
          </w:p>
        </w:tc>
        <w:tc>
          <w:tcPr>
            <w:tcW w:type="dxa" w:w="96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Баллы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Математическая интерпретация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Объяснить смысл производной показателя и градиента функции двух переменных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Линейная алгебра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Определить допустимость матричной операции и размер результата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Статистика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Выбрать среднее или медиану, интерпретировать разброс и корреляцию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Python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Написать функцию обработки списка наблюдений и обработать ошибочный ввод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Табличные данные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Загрузить файл, отфильтровать строки, получить групповые показатели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SQL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Составить запрос с JOIN и GROUP BY либо объяснить готовый запрос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Качество данных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Найти пропуски, дубликаты, неверные типы и потенциальную утечку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  <w:tr>
        <w:tc>
          <w:tcPr>
            <w:tcW w:type="dxa" w:w="56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Постановка задачи</w:t>
            </w:r>
          </w:p>
        </w:tc>
        <w:tc>
          <w:tcPr>
            <w:tcW w:type="dxa" w:w="589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Отличить предметную проблему, аналитическую задачу и метрику модели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</w:tr>
    </w:tbl>
    <w:p>
      <w:pPr>
        <w:spacing w:after="0"/>
      </w:pPr>
    </w:p>
    <w:p>
      <w:pPr>
        <w:pStyle w:val="ListBullet"/>
      </w:pPr>
      <w:r>
        <w:t>70–100 баллов — студент готов к прохождению дисциплины без дополнительной подготовки.</w:t>
      </w:r>
    </w:p>
    <w:p>
      <w:pPr>
        <w:pStyle w:val="ListBullet"/>
      </w:pPr>
      <w:r>
        <w:t>40–69 баллов — допускается к курсу с обязательным выполнением индивидуального выравнивающего маршрута.</w:t>
      </w:r>
    </w:p>
    <w:p>
      <w:pPr>
        <w:pStyle w:val="ListBullet"/>
      </w:pPr>
      <w:r>
        <w:t>0–39 баллов — рекомендуется предварительный интенсив либо отдельный выравнивающий модуль.</w:t>
      </w:r>
    </w:p>
    <w:p>
      <w:pPr>
        <w:pStyle w:val="Heading1"/>
      </w:pPr>
      <w:r>
        <w:t>6. Выравнивающий модуль</w:t>
      </w:r>
    </w:p>
    <w:p>
      <w:r>
        <w:t>Выравнивающий модуль не включается как крупный раздел РПД. Он организуется в форме коротких материалов и заданий до начала либо в течение первых двух недель.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Пробел</w:t>
            </w:r>
          </w:p>
        </w:tc>
        <w:tc>
          <w:tcPr>
            <w:tcW w:type="dxa" w:w="510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Материал</w:t>
            </w:r>
          </w:p>
        </w:tc>
        <w:tc>
          <w:tcPr>
            <w:tcW w:type="dxa" w:w="266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Контроль готовности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Python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Типы, коллекции, функции, чтение файлов, виртуальное окружение; 4–6 часов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Скрипт первичного анализа CSV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Статистика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Описательные статистики, распределения, выборка, корреляция; 4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Интерпретация набора показателей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Линейная алгебра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Векторы, матрицы, расстояния, размерности; 2–3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Небольшой расчёт в NumPy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SQL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SELECT, JOIN, GROUP BY; 3–4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Формирование аналитической витрины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Качество данных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Типы ошибок, пропуски, дубликаты, гранулярность; 2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Краткий аудит учебного набора</w:t>
            </w:r>
          </w:p>
        </w:tc>
      </w:tr>
    </w:tbl>
    <w:p>
      <w:pPr>
        <w:spacing w:after="0"/>
      </w:pPr>
    </w:p>
    <w:p>
      <w:pPr>
        <w:pStyle w:val="Heading1"/>
      </w:pPr>
      <w:r>
        <w:t>7. Темы для дальнейшего изучения</w:t>
      </w:r>
    </w:p>
    <w:p>
      <w:r>
        <w:t>После дисциплины студент владеет полным базовым циклом аналитического проекта. Следующие темы следует распределять по отдельным дисциплинам или специализациям, а не добавлять все в один семестр.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7"/>
        <w:gridCol w:w="2507"/>
        <w:gridCol w:w="2507"/>
        <w:gridCol w:w="2507"/>
      </w:tblGrid>
      <w:tr>
        <w:trPr>
          <w:tblHeader w:val="true"/>
        </w:trPr>
        <w:tc>
          <w:tcPr>
            <w:tcW w:type="dxa" w:w="15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Очередь</w:t>
            </w:r>
          </w:p>
        </w:tc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Дисциплина / модуль</w:t>
            </w:r>
          </w:p>
        </w:tc>
        <w:tc>
          <w:tcPr>
            <w:tcW w:type="dxa" w:w="379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Ключевые темы</w:t>
            </w:r>
          </w:p>
        </w:tc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Развиваемая траектория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Углублённая статистика и дизайн экспериментов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A/B-тестирование, мощность и размер выборки, множественные проверки, бутстреп, байесовский анализ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Аналитик экспериментов / продуктовый аналитик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Временные ряды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Тренд и сезонность, временная валидация, ARIMA/SARIMA, градиентный бустинг, оценка прогноза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Аналитик прогнозирования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Визуальная аналитика и BI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Проектирование показателей, информационные панели, data storytelling, пользовательская аналитика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BI-аналитик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Продвинутый SQL и хранилища данных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Оконные функции, планы запросов, модели витрин, качество и происхождение данных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 Analyst / Analytics Engineer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Прикладное машинное обучение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Ансамбли, подбор гиперпараметров, интерпретируемость, калибровка, дисбаланс классов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 Scientist / ML Engineer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Причинно-следственный анализ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Причинные графы, matching, difference-in-differences, инструментальные переменные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Исследователь / продуктовый аналитик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DataOps и воспроизводимая аналитика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Версионирование данных, тесты качества, оркестрация, мониторинг, CI для аналитического кода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Analytics Engineer / TADS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Большие и распределённые данные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Колонночные форматы, Spark, Dask/Ray, распределённая обработка, оптимизация вычислений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 Engineer / TADS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3. Специализация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Текст, изображения и генеративные модели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NLP, компьютерное зрение, эмбеддинги, RAG и оценивание генеративных систем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Специализированные аналитические роли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3. Специализация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Отраслевая аналитика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Метрики, данные, ограничения и нормативные требования выбранной отрасли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Аналитик данных конкретной ОПД</w:t>
            </w:r>
          </w:p>
        </w:tc>
      </w:tr>
    </w:tbl>
    <w:p>
      <w:pPr>
        <w:spacing w:after="0"/>
      </w:pPr>
    </w:p>
    <w:p>
      <w:pPr>
        <w:pStyle w:val="Heading1"/>
      </w:pPr>
      <w:r>
        <w:t>8. Рекомендуемая последовательность траектории</w:t>
      </w:r>
    </w:p>
    <w:p>
      <w:pPr>
        <w:pStyle w:val="ListNumber"/>
      </w:pPr>
      <w:r>
        <w:t>Математический анализ, линейная алгебра, вероятность и статистика.</w:t>
      </w:r>
    </w:p>
    <w:p>
      <w:pPr>
        <w:pStyle w:val="ListNumber"/>
      </w:pPr>
      <w:r>
        <w:t>Основы программирования, баз данных и технологий обработки данных.</w:t>
      </w:r>
    </w:p>
    <w:p>
      <w:pPr>
        <w:pStyle w:val="ListNumber"/>
      </w:pPr>
      <w:r>
        <w:t>Прикладной анализ данных — полный проект от постановки задачи до рекомендаций.</w:t>
      </w:r>
    </w:p>
    <w:p>
      <w:pPr>
        <w:pStyle w:val="ListNumber"/>
      </w:pPr>
      <w:r>
        <w:t>Ветвление: экспериментальная аналитика; временные ряды; BI и хранилища; прикладное машинное обучение.</w:t>
      </w:r>
    </w:p>
    <w:p>
      <w:pPr>
        <w:pStyle w:val="ListNumber"/>
      </w:pPr>
      <w:r>
        <w:t>Профессионализация: причинный анализ, DataOps/MLOps, большие данные или отраслевой трек.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D9EAF7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Рекомендация рабочей группе. </w:t>
            </w:r>
            <w:r>
              <w:t>до утверждения РПД сопоставить этот входной профиль с реальным учебным планом. Если матстатистика, Python или базы данных изучаются параллельно, необходимо изменить семестр дисциплины либо явно перераспределить результаты обучения.</w:t>
            </w:r>
          </w:p>
        </w:tc>
      </w:tr>
    </w:tbl>
    <w:p>
      <w:pPr>
        <w:spacing w:after="0"/>
      </w:pPr>
    </w:p>
    <w:p>
      <w:pPr>
        <w:pStyle w:val="Heading1"/>
      </w:pPr>
      <w:r>
        <w:t>9. Поля для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368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Позиция</w:t>
            </w:r>
          </w:p>
        </w:tc>
        <w:tc>
          <w:tcPr>
            <w:tcW w:type="dxa" w:w="578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Решение образовательной программы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Наименование ОПОП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Направление подготовки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Семестр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Фактические дисциплины-пререквизиты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 по учебному плану]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Ответственные кафедры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Выбранная область профессиональной деятельности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964" w:bottom="96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7F7F7F"/>
        <w:sz w:val="16"/>
      </w:rPr>
      <w:t>Входной профиль обучающегося и траектория развития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Входной профиль обучающегося и траектория развития</dc:title>
  <dc:subject>Пререквизиты дисциплины «Прикладной анализ данных»</dc:subject>
  <dc:creator>Рабочая группа разработчиков дисциплины</dc:creator>
  <cp:keywords>РПД, анализ данных, Python, КРМ, CRISP-DM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