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Times New Roman" w:hAnsi="Times New Roman"/>
          <w:b/>
          <w:color w:val="1F4E78"/>
          <w:sz w:val="44"/>
        </w:rPr>
        <w:t>РАБОЧАЯ ПРОГРАММА ДИСЦИПЛИНЫ</w:t>
      </w:r>
    </w:p>
    <w:p>
      <w:pPr>
        <w:spacing w:before="320"/>
        <w:jc w:val="center"/>
      </w:pPr>
      <w:r>
        <w:rPr>
          <w:rFonts w:ascii="Times New Roman" w:hAnsi="Times New Roman"/>
          <w:sz w:val="28"/>
        </w:rPr>
        <w:t>«Прикладной анализ данных»</w:t>
      </w:r>
    </w:p>
    <w:p>
      <w:pPr>
        <w:spacing w:before="840"/>
        <w:jc w:val="center"/>
      </w:pPr>
      <w:r>
        <w:rPr>
          <w:i/>
          <w:color w:val="7F7F7F"/>
          <w:sz w:val="22"/>
        </w:rPr>
        <w:t>Проект для обсуждения и последующего переноса в шаблон образовательной организации</w:t>
      </w:r>
    </w:p>
    <w:p>
      <w:pPr>
        <w:spacing w:before="4000"/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Общая характеристика дисциплины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283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663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Проектное значение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Наименование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Прикладной анализ данных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Образовательная программа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 ОПОП и направление подготовки]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Место в учебном плане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Профессиональный блок; дисциплина по выбору / обязательная дисциплина профиля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Курс и семестр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3–4 курс; [указать семестр]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Трудоёмкость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 ЗЕТ, 108 часов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Продолжительность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16 учебных недель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Форма промежуточной аттестации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Дифференцированный зачёт с защитой проекта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Основная профессиональная роль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Data Analyst (аналитик данных)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Язык и инструменты реализации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Python и библиотеки анализа данных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9"/>
      </w:tblGrid>
      <w:tr>
        <w:tc>
          <w:tcPr>
            <w:tcW w:type="dxa" w:w="10029"/>
            <w:shd w:fill="EEF5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</w:rPr>
              <w:t xml:space="preserve">Методологическая основа. </w:t>
            </w:r>
            <w:r>
              <w:t>CRISP-DM используется внутри программы как способ организации сквозного аналитического проекта: понимание задачи, понимание данных, подготовка, моделирование, оценка и представление результата. Методология намеренно не вынесена в название дисциплины.</w:t>
            </w:r>
          </w:p>
        </w:tc>
      </w:tr>
    </w:tbl>
    <w:p>
      <w:pPr>
        <w:spacing w:after="0"/>
      </w:pPr>
    </w:p>
    <w:p>
      <w:pPr>
        <w:pStyle w:val="Heading2"/>
      </w:pPr>
      <w:r>
        <w:t>Основание для разработки</w:t>
      </w:r>
    </w:p>
    <w:p>
      <w:pPr>
        <w:pStyle w:val="ListBullet"/>
      </w:pPr>
      <w:r>
        <w:t>Компетентностно-ролевая модель специалистов в сфере искусственного интеллекта, версия 3.0.</w:t>
      </w:r>
    </w:p>
    <w:p>
      <w:pPr>
        <w:pStyle w:val="ListBullet"/>
      </w:pPr>
      <w:r>
        <w:t>Учебные материалы «Конструирование и разработка учебных дисциплин в сфере ИИ на основе компетентностно-ролевой модели», 2026 г.</w:t>
      </w:r>
    </w:p>
    <w:p>
      <w:pPr>
        <w:pStyle w:val="ListBullet"/>
      </w:pPr>
      <w:r>
        <w:t>Решение рабочей группы: основная профессиональная роль — Data Analyst; язык реализации учебных заданий — Python; CRISP-DM используется как внутренняя методология проектной работы.</w:t>
      </w:r>
    </w:p>
    <w:p>
      <w:pPr>
        <w:pStyle w:val="Heading1"/>
      </w:pPr>
      <w:r>
        <w:t>2. Цель и задачи дисциплины</w:t>
      </w:r>
    </w:p>
    <w:p>
      <w:pPr>
        <w:pStyle w:val="Heading2"/>
      </w:pPr>
      <w:r>
        <w:t>2.1. Цель</w:t>
      </w:r>
    </w:p>
    <w:p>
      <w:r>
        <w:t>Сформировать способность преобразовывать проблему предметной области в воспроизводимое аналитическое решение: определять требования к данным, исследовать и подготавливать данные, проверять гипотезы, строить и оценивать модели, а также формулировать обоснованные выводы и рекомендации.</w:t>
      </w:r>
    </w:p>
    <w:p>
      <w:pPr>
        <w:pStyle w:val="Heading2"/>
      </w:pPr>
      <w:r>
        <w:t>2.2. Задачи</w:t>
      </w:r>
    </w:p>
    <w:p>
      <w:pPr>
        <w:pStyle w:val="ListBullet"/>
      </w:pPr>
      <w:r>
        <w:t>научить отличать проблему предметной области, аналитическую задачу и задачу машинного обучения;</w:t>
      </w:r>
    </w:p>
    <w:p>
      <w:pPr>
        <w:pStyle w:val="ListBullet"/>
      </w:pPr>
      <w:r>
        <w:t>сформировать навыки аудита, очистки, преобразования и документирования данных;</w:t>
      </w:r>
    </w:p>
    <w:p>
      <w:pPr>
        <w:pStyle w:val="ListBullet"/>
      </w:pPr>
      <w:r>
        <w:t>освоить разведочный анализ и проверку статистических гипотез;</w:t>
      </w:r>
    </w:p>
    <w:p>
      <w:pPr>
        <w:pStyle w:val="ListBullet"/>
      </w:pPr>
      <w:r>
        <w:t>освоить воспроизводимую реализацию аналитического решения на Python;</w:t>
      </w:r>
    </w:p>
    <w:p>
      <w:pPr>
        <w:pStyle w:val="ListBullet"/>
      </w:pPr>
      <w:r>
        <w:t>научить строить baseline и сравнивать альтернативные модели по адекватной схеме валидации;</w:t>
      </w:r>
    </w:p>
    <w:p>
      <w:pPr>
        <w:pStyle w:val="ListBullet"/>
      </w:pPr>
      <w:r>
        <w:t>сформировать навыки интерпретации, визуального представления и защиты аналитических результатов;</w:t>
      </w:r>
    </w:p>
    <w:p>
      <w:pPr>
        <w:pStyle w:val="ListBullet"/>
      </w:pPr>
      <w:r>
        <w:t>развить критическое отношение к ограничениям данных, моделей и выводов.</w:t>
      </w:r>
    </w:p>
    <w:p>
      <w:pPr>
        <w:pStyle w:val="Heading1"/>
      </w:pPr>
      <w:r>
        <w:t>3. Место дисциплины в образовательной программе</w:t>
      </w:r>
    </w:p>
    <w:p>
      <w:r>
        <w:t>Дисциплина рекомендуется для старших курсов после освоения математического анализа, линейной алгебры, теории вероятностей и математической статистики, основ программирования, баз данных и основ технологий обработки данных.</w:t>
      </w:r>
    </w:p>
    <w:p>
      <w:pPr>
        <w:pStyle w:val="ListBullet"/>
      </w:pPr>
      <w:r>
        <w:t>Обязательные входные умения: базовый Python; работа с файлами; описательная статистика; понимание матриц и функций; выявление простых проблем качества данных.</w:t>
      </w:r>
    </w:p>
    <w:p>
      <w:pPr>
        <w:pStyle w:val="ListBullet"/>
      </w:pPr>
      <w:r>
        <w:t>Желательные входные умения: базовый SQL; работа с виртуальным окружением; понимание ETL/ELT и реляционной модели.</w:t>
      </w:r>
    </w:p>
    <w:p>
      <w:pPr>
        <w:pStyle w:val="ListBullet"/>
      </w:pPr>
      <w:r>
        <w:t>В первую неделю проводится диагностическая работа без влияния на итоговую оценку.</w:t>
      </w:r>
    </w:p>
    <w:p>
      <w:pPr>
        <w:pStyle w:val="ListBullet"/>
      </w:pPr>
      <w:r>
        <w:t>Выявленные пробелы закрываются индивидуальным выравнивающим маршрутом, а не расширением основного курса.</w:t>
      </w:r>
    </w:p>
    <w:p>
      <w:r>
        <w:t>Развёрнутое описание входных требований приведено в отдельном документе «Входной профиль обучающегося и траектория дальнейшего развития».</w:t>
      </w:r>
    </w:p>
    <w:p>
      <w:pPr>
        <w:pStyle w:val="Heading1"/>
      </w:pPr>
      <w:r>
        <w:t>4. Профессиональная роль и результат деятельности</w:t>
      </w:r>
    </w:p>
    <w:p>
      <w:r>
        <w:t>В соответствии с КРМ основной ролью является Data Analyst — специалист, который исследует данные, извлекает содержательные выводы, строит аналитические модели и представляет результаты для поддержки решений.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24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Элемент</w:t>
            </w:r>
          </w:p>
        </w:tc>
        <w:tc>
          <w:tcPr>
            <w:tcW w:type="dxa" w:w="697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Описание для дисциплины</w:t>
            </w:r>
          </w:p>
        </w:tc>
      </w:tr>
      <w:tr>
        <w:tc>
          <w:tcPr>
            <w:tcW w:type="dxa" w:w="24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Типовые трудовые действия</w:t>
            </w:r>
          </w:p>
        </w:tc>
        <w:tc>
          <w:tcPr>
            <w:tcW w:type="dxa" w:w="69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Исследовательский анализ; оценка качества данных; статистический анализ; проверка гипотез; построение базовых прогнозных моделей; визуализация и подготовка отчёта</w:t>
            </w:r>
          </w:p>
        </w:tc>
      </w:tr>
      <w:tr>
        <w:tc>
          <w:tcPr>
            <w:tcW w:type="dxa" w:w="24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Характерный результат</w:t>
            </w:r>
          </w:p>
        </w:tc>
        <w:tc>
          <w:tcPr>
            <w:tcW w:type="dxa" w:w="69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Воспроизводимый аналитический проект, содержащий постановку задачи, данные, код, обоснование методов, оценку качества, выводы и рекомендации</w:t>
            </w:r>
          </w:p>
        </w:tc>
      </w:tr>
      <w:tr>
        <w:tc>
          <w:tcPr>
            <w:tcW w:type="dxa" w:w="24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Основной заказчик результата</w:t>
            </w:r>
          </w:p>
        </w:tc>
        <w:tc>
          <w:tcPr>
            <w:tcW w:type="dxa" w:w="69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Предметный специалист, руководитель проекта, владелец процесса или иной пользователь аналитического решения</w:t>
            </w:r>
          </w:p>
        </w:tc>
      </w:tr>
      <w:tr>
        <w:tc>
          <w:tcPr>
            <w:tcW w:type="dxa" w:w="24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Граница роли</w:t>
            </w:r>
          </w:p>
        </w:tc>
        <w:tc>
          <w:tcPr>
            <w:tcW w:type="dxa" w:w="69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Дисциплина не ставит целью промышленное развёртывание ML-систем, разработку инфраструктуры больших данных или создание новых алгоритмов</w:t>
            </w:r>
          </w:p>
        </w:tc>
      </w:tr>
    </w:tbl>
    <w:p>
      <w:pPr>
        <w:spacing w:after="0"/>
      </w:pPr>
    </w:p>
    <w:p>
      <w:pPr>
        <w:pStyle w:val="Heading1"/>
      </w:pPr>
      <w:r>
        <w:t>5. Компетенции и планируемые результаты</w:t>
      </w:r>
    </w:p>
    <w:p>
      <w:r>
        <w:t>Коды КРМ используются как содержательная основа. При утверждении РПД их необходимо сопоставить с УК, ОПК, ПК и индикаторами конкретной ОПОП. Б — базовый, С — средний, П — продвинутый уровень.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6"/>
        <w:gridCol w:w="2006"/>
        <w:gridCol w:w="2006"/>
        <w:gridCol w:w="2006"/>
        <w:gridCol w:w="2006"/>
      </w:tblGrid>
      <w:tr>
        <w:trPr>
          <w:tblHeader w:val="true"/>
        </w:trPr>
        <w:tc>
          <w:tcPr>
            <w:tcW w:type="dxa" w:w="96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КРМ</w:t>
            </w:r>
          </w:p>
        </w:tc>
        <w:tc>
          <w:tcPr>
            <w:tcW w:type="dxa" w:w="204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Область</w:t>
            </w:r>
          </w:p>
        </w:tc>
        <w:tc>
          <w:tcPr>
            <w:tcW w:type="dxa" w:w="408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Планируемый результат</w:t>
            </w:r>
          </w:p>
        </w:tc>
        <w:tc>
          <w:tcPr>
            <w:tcW w:type="dxa" w:w="7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Уровень</w:t>
            </w:r>
          </w:p>
        </w:tc>
        <w:tc>
          <w:tcPr>
            <w:tcW w:type="dxa" w:w="158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Артефакт</w:t>
            </w:r>
          </w:p>
        </w:tc>
      </w:tr>
      <w:tr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LC-1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Понимание прикладной проблемы</w:t>
            </w:r>
          </w:p>
        </w:tc>
        <w:tc>
          <w:tcPr>
            <w:tcW w:type="dxa" w:w="408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LC-1.1 — формализует проблему, заинтересованные стороны, цель анализа, ограничения и критерии успешности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Паспорт аналитического проекта</w:t>
            </w:r>
          </w:p>
        </w:tc>
      </w:tr>
      <w:tr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BD-1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Исследование и подготовка данных</w:t>
            </w:r>
          </w:p>
        </w:tc>
        <w:tc>
          <w:tcPr>
            <w:tcW w:type="dxa" w:w="408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BD-1.2, 1.3, 1.5 — исследует данные, проверяет гипотезы, обосновывает очистку и формирует признаки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Паспорт данных, EDA и пайплайн подготовки</w:t>
            </w:r>
          </w:p>
        </w:tc>
      </w:tr>
      <w:tr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ML-2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Моделирование и оценка</w:t>
            </w:r>
          </w:p>
        </w:tc>
        <w:tc>
          <w:tcPr>
            <w:tcW w:type="dxa" w:w="408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ML-2.1–2.3 — выбирает тип задачи, строит baseline и альтернативные модели, применяет валидацию и метрики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Модели и отчёт об оценке качества</w:t>
            </w:r>
          </w:p>
        </w:tc>
      </w:tr>
    </w:tbl>
    <w:p>
      <w:pPr>
        <w:spacing w:after="0"/>
      </w:pPr>
    </w:p>
    <w:p>
      <w:pPr>
        <w:pStyle w:val="Heading1"/>
      </w:pPr>
      <w:r>
        <w:t>6. Трудоёмкость дисциплины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680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Вид учебной работы</w:t>
            </w:r>
          </w:p>
        </w:tc>
        <w:tc>
          <w:tcPr>
            <w:tcW w:type="dxa" w:w="266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Часы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Лекции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Лабораторные / практические занятия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30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Промежуточная аттестация: защита проекта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Самостоятельная работа, включая проект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60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Всего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>
      <w:pPr>
        <w:spacing w:after="0"/>
      </w:pPr>
    </w:p>
    <w:p>
      <w:pPr>
        <w:pStyle w:val="Heading1"/>
      </w:pPr>
      <w:r>
        <w:t>7. Содержание и структура дисциплины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33"/>
        <w:gridCol w:w="1433"/>
        <w:gridCol w:w="1433"/>
        <w:gridCol w:w="1433"/>
        <w:gridCol w:w="1433"/>
        <w:gridCol w:w="1433"/>
        <w:gridCol w:w="1433"/>
      </w:tblGrid>
      <w:tr>
        <w:trPr>
          <w:tblHeader w:val="true"/>
        </w:trPr>
        <w:tc>
          <w:tcPr>
            <w:tcW w:type="dxa" w:w="215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Элемент дисциплины</w:t>
            </w:r>
          </w:p>
        </w:tc>
        <w:tc>
          <w:tcPr>
            <w:tcW w:type="dxa" w:w="345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Содержание (тематические сущности)</w:t>
            </w:r>
          </w:p>
        </w:tc>
        <w:tc>
          <w:tcPr>
            <w:tcW w:type="dxa" w:w="96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Форма занятия</w:t>
            </w:r>
          </w:p>
        </w:tc>
        <w:tc>
          <w:tcPr>
            <w:tcW w:type="dxa" w:w="7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Объём, а.ч.</w:t>
            </w:r>
          </w:p>
        </w:tc>
        <w:tc>
          <w:tcPr>
            <w:tcW w:type="dxa" w:w="102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Компетенция</w:t>
            </w:r>
          </w:p>
        </w:tc>
        <w:tc>
          <w:tcPr>
            <w:tcW w:type="dxa" w:w="85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Индикатор</w:t>
            </w:r>
          </w:p>
        </w:tc>
        <w:tc>
          <w:tcPr>
            <w:tcW w:type="dxa" w:w="45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Уровень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1. Постановка прикладной задачи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Проблема, аналитическая задача, стейкхолдеры, критерии успешности; полный цикл CRISP-DM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Предметная и аналитическая постановка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Цель проекта, задачи, ограничения, пользователи результата, метрики успеха и требования к данным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Паспорт аналитического проекта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Формализация кейса и подготовка паспорта проекта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2. Понимание и исследование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Источники, качество, описательная статистика, визуализация, одномерный и многомерный EDA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4/6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Источники и паспорт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Единица наблюдения, гранулярность, словарь и происхождение данных; первичный аудит в Python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Разведочный анализ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Описательная статистика, распределения, связи признаков, визуализация и проверка разведочных гипотез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3. Подготовка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Очистка, преобразование и конструирование признаков; предотвращение утечки данных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2/8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BD-1; 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1.3, 1.5; 2.2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Качество и очистка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Пропуски, дубликаты, выбросы, неверные типы и противоречивые значения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Преобразование признаков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Кодирование категорий, масштабирование, отбор и создание признаков, воспроизводимый пайплайн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BD-1; 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1.5; 2.2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4. Моделирование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Типы аналитических задач, baseline, регрессия, классификация, кластеризация и интерпретация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4/8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2.1, 2.2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Тип задачи и baseline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Выбор типа задачи с учётом прикладной цели; построение простого базового решения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Регрессия и классификация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Линейные модели, деревья и ансамбли; подготовка признаков и настройка базовых параметров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2.1, 2.2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Кластеризация и интерпретация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Сегментация объектов и объяснение результатов модели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5. Оценка результатов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Разбиение данных, кросс-валидация, метрики, дисбаланс, сравнение моделей и анализ ошибок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Валидация и метрики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Схемы проверки; метрики классификации и регрессии; выбор метрики под прикладную задачу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Сравнение моделей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Анализ ошибок, переобучение, неопределённость и выбор итогового решения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6. Аналитический продукт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Визуальное представление, ограничения, этика, рекомендации и план применения результата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LC-1; BD-1; 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1.1; 1.2; 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Дифференцированный зачёт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Защита сквозного аналитического проекта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ДЗ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LC-1; BD-1; 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1.1; 1.2, 1.3, 1.5; 2.1–2.3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</w:tbl>
    <w:p>
      <w:pPr>
        <w:spacing w:after="0"/>
      </w:pPr>
    </w:p>
    <w:p>
      <w:pPr>
        <w:pStyle w:val="Heading1"/>
      </w:pPr>
      <w:r>
        <w:t>8. Примерный календарно-тематический план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7"/>
        <w:gridCol w:w="2507"/>
        <w:gridCol w:w="2507"/>
        <w:gridCol w:w="2507"/>
      </w:tblGrid>
      <w:tr>
        <w:trPr>
          <w:tblHeader w:val="true"/>
        </w:trPr>
        <w:tc>
          <w:tcPr>
            <w:tcW w:type="dxa" w:w="68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Неделя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Тема</w:t>
            </w:r>
          </w:p>
        </w:tc>
        <w:tc>
          <w:tcPr>
            <w:tcW w:type="dxa" w:w="294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Практический результат</w:t>
            </w:r>
          </w:p>
        </w:tc>
        <w:tc>
          <w:tcPr>
            <w:tcW w:type="dxa" w:w="158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КРМ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Входная диагностика. Роль аналитика данных. Полный цикл аналитического проекта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Диагностическая работа; выбор мини-кейса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LC-1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Предметная проблема, заинтересованные стороны, аналитическая задача и критерии успешности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Паспорт проекта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LC-1.1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Источники, единица наблюдения, гранулярность, словарь и происхождение данных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Паспорт данных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4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Загрузка и первичный аудит данных в Python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Автоматизированный профиль качества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Описательная статистика и одномерный EDA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Набор обоснованных визуализаций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6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Многомерный анализ и разведочные гипотезы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EDA-отчёт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Пропуски, дубликаты, выбросы и ошибки данных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Стратегия очистки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BD-1.3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8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Преобразование и создание признаков. Утечка данных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Пайплайн подготовки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BD-1.5; ML-2.2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9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Типы аналитических задач и baseline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Базовое решение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10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Регрессия и классификация на табличных данных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Две альтернативные модели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ML-2.1–2.3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Кластеризация, сегментация и интерпретация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Сегментация либо интерпретация модели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12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Схемы валидации и выбор метрик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Протокол валидации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ML-2.3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Сравнение моделей, анализ ошибок и неопределённости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Отчёт о сравнении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ML-2.3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14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Визуальное представление и аналитический отчёт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Черновик аналитического продукта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BD-1; ML-2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Ограничения, этика, рекомендации и план применения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Финальная редакция проекта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LC-1.1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16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Защита и ретроспектива проектного цикла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Презентация и индивидуальная защита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LC-1; BD-1; ML-2</w:t>
            </w:r>
          </w:p>
        </w:tc>
      </w:tr>
    </w:tbl>
    <w:p>
      <w:pPr>
        <w:spacing w:after="0"/>
      </w:pPr>
    </w:p>
    <w:p>
      <w:pPr>
        <w:pStyle w:val="Heading1"/>
      </w:pPr>
      <w:r>
        <w:t>9. Организация обучения</w:t>
      </w:r>
    </w:p>
    <w:p>
      <w:r>
        <w:t>Основной подход — обучение через последовательное создание аналитического продукта. Лабораторные работы являются контрольными точками одного проекта, а не набором несвязанных упражнений.</w:t>
      </w:r>
    </w:p>
    <w:p>
      <w:pPr>
        <w:pStyle w:val="ListBullet"/>
      </w:pPr>
      <w:r>
        <w:t>Первый проход проектного цикла: короткий управляемый мини-кейс в первые недели, выполняемый вместе с преподавателем.</w:t>
      </w:r>
    </w:p>
    <w:p>
      <w:pPr>
        <w:pStyle w:val="ListBullet"/>
      </w:pPr>
      <w:r>
        <w:t>Второй проход: самостоятельный семестровый проект, в котором студенты возвращаются к постановке задачи после исследования данных и оценки моделей.</w:t>
      </w:r>
    </w:p>
    <w:p>
      <w:pPr>
        <w:pStyle w:val="ListBullet"/>
      </w:pPr>
      <w:r>
        <w:t>Команды по 2–3 человека допустимы при наличии индивидуальной защиты, журнала вклада и возможности объяснить собственный код.</w:t>
      </w:r>
    </w:p>
    <w:p>
      <w:pPr>
        <w:pStyle w:val="ListBullet"/>
      </w:pPr>
      <w:r>
        <w:t>Технологические инструкции выносятся в короткие демонстрации и справочные материалы; аудиторное время используется для выбора и обоснования аналитических решений.</w:t>
      </w:r>
    </w:p>
    <w:p>
      <w:pPr>
        <w:pStyle w:val="ListBullet"/>
      </w:pPr>
      <w:r>
        <w:t>Для разных направлений подготовки применяется единая рубрика, но разные предметные кейсы и показатели результата.</w:t>
      </w:r>
    </w:p>
    <w:p>
      <w:pPr>
        <w:pStyle w:val="Heading1"/>
      </w:pPr>
      <w:r>
        <w:t>10. Фонд оценочных средств</w:t>
      </w:r>
    </w:p>
    <w:p>
      <w:pPr>
        <w:pStyle w:val="Heading2"/>
      </w:pPr>
      <w:r>
        <w:t>10.1. Контрольные точки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3"/>
        <w:gridCol w:w="3343"/>
        <w:gridCol w:w="3343"/>
      </w:tblGrid>
      <w:tr>
        <w:trPr>
          <w:tblHeader w:val="true"/>
        </w:trPr>
        <w:tc>
          <w:tcPr>
            <w:tcW w:type="dxa" w:w="255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Форма контроля</w:t>
            </w:r>
          </w:p>
        </w:tc>
        <w:tc>
          <w:tcPr>
            <w:tcW w:type="dxa" w:w="595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Проверяемый результат</w:t>
            </w:r>
          </w:p>
        </w:tc>
        <w:tc>
          <w:tcPr>
            <w:tcW w:type="dxa" w:w="96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Вес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Входная диагностика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Проверка пререквизитов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Паспорт проекта и данных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Проблема, цель, критерии, требования и словарь данных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EDA и проверка гипотез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Описательная статистика, визуализации, гипотезы и содержательные выводы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Подготовка данных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Обоснованная очистка, преобразование и воспроизводимый пайплайн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Моделирование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Baseline, альтернативные модели и документирование экспериментов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20%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Валидация и анализ ошибок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Схема проверки, метрики, сравнение и ограничения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Итоговый аналитический продукт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Целостность, воспроизводимость, выводы и рекомендации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Индивидуальная защита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Понимание решений, вклад и способность изменить анализ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</w:tr>
    </w:tbl>
    <w:p>
      <w:pPr>
        <w:spacing w:after="0"/>
      </w:pPr>
    </w:p>
    <w:p>
      <w:pPr>
        <w:pStyle w:val="Heading2"/>
      </w:pPr>
      <w:r>
        <w:t>10.2. Уровни оценивания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19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Уровень</w:t>
            </w:r>
          </w:p>
        </w:tc>
        <w:tc>
          <w:tcPr>
            <w:tcW w:type="dxa" w:w="748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Обобщённый дескриптор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 — не достигнут</w:t>
            </w:r>
          </w:p>
        </w:tc>
        <w:tc>
          <w:tcPr>
            <w:tcW w:type="dxa" w:w="74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Артефакт отсутствует, не запускается или не позволяет проверить заявленный результат.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Б — базовый</w:t>
            </w:r>
          </w:p>
        </w:tc>
        <w:tc>
          <w:tcPr>
            <w:tcW w:type="dxa" w:w="74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Студент выполняет действие на типовой задаче с использованием предложенного алгоритма и корректно фиксирует результат.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 — средний</w:t>
            </w:r>
          </w:p>
        </w:tc>
        <w:tc>
          <w:tcPr>
            <w:tcW w:type="dxa" w:w="74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Самостоятельно выбирает подход, обосновывает его с учётом данных и задачи, проверяет качество результата.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 — продвинутый</w:t>
            </w:r>
          </w:p>
        </w:tc>
        <w:tc>
          <w:tcPr>
            <w:tcW w:type="dxa" w:w="74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Сравнивает альтернативы, анализирует неопределённость и ограничения, предлагает улучшение или адаптацию решения.</w:t>
            </w:r>
          </w:p>
        </w:tc>
      </w:tr>
    </w:tbl>
    <w:p>
      <w:pPr>
        <w:spacing w:after="0"/>
      </w:pPr>
    </w:p>
    <w:p>
      <w:pPr>
        <w:pStyle w:val="Heading2"/>
      </w:pPr>
      <w:r>
        <w:t>10.3. Обязательные условия зачёта</w:t>
      </w:r>
    </w:p>
    <w:p>
      <w:pPr>
        <w:pStyle w:val="ListBullet"/>
      </w:pPr>
      <w:r>
        <w:t>не менее 60 баллов из 100;</w:t>
      </w:r>
    </w:p>
    <w:p>
      <w:pPr>
        <w:pStyle w:val="ListBullet"/>
      </w:pPr>
      <w:r>
        <w:t>наличие воспроизводимого проекта и индивидуальной защиты;</w:t>
      </w:r>
    </w:p>
    <w:p>
      <w:pPr>
        <w:pStyle w:val="ListBullet"/>
      </w:pPr>
      <w:r>
        <w:t>отсутствие неустранённой утечки целевой переменной;</w:t>
      </w:r>
    </w:p>
    <w:p>
      <w:pPr>
        <w:pStyle w:val="ListBullet"/>
      </w:pPr>
      <w:r>
        <w:t>корректная схема разбиения данных и обоснованная метрика;</w:t>
      </w:r>
    </w:p>
    <w:p>
      <w:pPr>
        <w:pStyle w:val="ListBullet"/>
      </w:pPr>
      <w:r>
        <w:t>выводы не должны подменять корреляцию причинно-следственным утверждением;</w:t>
      </w:r>
    </w:p>
    <w:p>
      <w:pPr>
        <w:pStyle w:val="ListBullet"/>
      </w:pPr>
      <w:r>
        <w:t>должны быть явно указаны ограничения данных, метода и области применимости результата.</w:t>
      </w:r>
    </w:p>
    <w:p>
      <w:pPr>
        <w:pStyle w:val="Heading1"/>
      </w:pPr>
      <w:r>
        <w:t>11. Пример комплексного задания</w:t>
      </w:r>
    </w:p>
    <w:p>
      <w:r>
        <w:t>Для выбранного набора данных предметной области разработать аналитическое решение, позволяющее поддержать конкретное управленческое, инженерное или исследовательское решение.</w:t>
      </w:r>
    </w:p>
    <w:p>
      <w:pPr>
        <w:pStyle w:val="ListNumber"/>
      </w:pPr>
      <w:r>
        <w:t>Определить заказчика, решение, предметную проблему и измеримый критерий успешности.</w:t>
      </w:r>
    </w:p>
    <w:p>
      <w:pPr>
        <w:pStyle w:val="ListNumber"/>
      </w:pPr>
      <w:r>
        <w:t>Сформулировать аналитическую задачу и требования к составу, периоду, гранулярности и качеству данных.</w:t>
      </w:r>
    </w:p>
    <w:p>
      <w:pPr>
        <w:pStyle w:val="ListNumber"/>
      </w:pPr>
      <w:r>
        <w:t>Подготовить словарь данных и провести аудит качества.</w:t>
      </w:r>
    </w:p>
    <w:p>
      <w:pPr>
        <w:pStyle w:val="ListNumber"/>
      </w:pPr>
      <w:r>
        <w:t>Выполнить разведочный анализ и проверить не менее трёх содержательных гипотез.</w:t>
      </w:r>
    </w:p>
    <w:p>
      <w:pPr>
        <w:pStyle w:val="ListNumber"/>
      </w:pPr>
      <w:r>
        <w:t>Разработать воспроизводимый процесс очистки, преобразования и формирования признаков.</w:t>
      </w:r>
    </w:p>
    <w:p>
      <w:pPr>
        <w:pStyle w:val="ListNumber"/>
      </w:pPr>
      <w:r>
        <w:t>Построить baseline и не менее двух альтернативных моделей, соответствующих типу задачи.</w:t>
      </w:r>
    </w:p>
    <w:p>
      <w:pPr>
        <w:pStyle w:val="ListNumber"/>
      </w:pPr>
      <w:r>
        <w:t>Обосновать схему валидации и метрики; провести сравнение и анализ ошибок.</w:t>
      </w:r>
    </w:p>
    <w:p>
      <w:pPr>
        <w:pStyle w:val="ListNumber"/>
      </w:pPr>
      <w:r>
        <w:t>Сформулировать выводы, ограничения и рекомендации для заказчика.</w:t>
      </w:r>
    </w:p>
    <w:p>
      <w:pPr>
        <w:pStyle w:val="ListNumber"/>
      </w:pPr>
      <w:r>
        <w:t>Подготовить план применения результата и контроля его качества после внедрения.</w:t>
      </w:r>
    </w:p>
    <w:p>
      <w:pPr>
        <w:pStyle w:val="ListNumber"/>
      </w:pPr>
      <w:r>
        <w:t>Представить проект в форме кода, отчёта и устной защиты.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9"/>
      </w:tblGrid>
      <w:tr>
        <w:tc>
          <w:tcPr>
            <w:tcW w:type="dxa" w:w="10029"/>
            <w:shd w:fill="EEF5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</w:rPr>
              <w:t xml:space="preserve">Примеры предметных кейсов. </w:t>
            </w:r>
            <w:r>
              <w:t>анализ факторов академического риска на обезличенных данных; прогнозирование спроса; выявление факторов оттока клиентов; анализ простоев оборудования; сегментация пользователей или организаций. Конкретный кейс выбирается с учётом области профессиональной деятельности ОПОП.</w:t>
            </w:r>
          </w:p>
        </w:tc>
      </w:tr>
    </w:tbl>
    <w:p>
      <w:pPr>
        <w:spacing w:after="0"/>
      </w:pPr>
    </w:p>
    <w:p>
      <w:pPr>
        <w:pStyle w:val="Heading1"/>
      </w:pPr>
      <w:r>
        <w:t>12. Учебно-методическое и программное обеспечение</w:t>
      </w:r>
    </w:p>
    <w:p>
      <w:pPr>
        <w:pStyle w:val="Heading2"/>
      </w:pPr>
      <w:r>
        <w:t>12.1. Программные средства</w:t>
      </w:r>
    </w:p>
    <w:p>
      <w:pPr>
        <w:pStyle w:val="ListBullet"/>
      </w:pPr>
      <w:r>
        <w:t>Python 3; JupyterLab и/или среда разработки с поддержкой ноутбуков;</w:t>
      </w:r>
    </w:p>
    <w:p>
      <w:pPr>
        <w:pStyle w:val="ListBullet"/>
      </w:pPr>
      <w:r>
        <w:t>NumPy, pandas, SciPy или statsmodels;</w:t>
      </w:r>
    </w:p>
    <w:p>
      <w:pPr>
        <w:pStyle w:val="ListBullet"/>
      </w:pPr>
      <w:r>
        <w:t>Matplotlib, Seaborn и при необходимости интерактивная библиотека визуализации;</w:t>
      </w:r>
    </w:p>
    <w:p>
      <w:pPr>
        <w:pStyle w:val="ListBullet"/>
      </w:pPr>
      <w:r>
        <w:t>scikit-learn для построения базовых моделей и пайплайнов;</w:t>
      </w:r>
    </w:p>
    <w:p>
      <w:pPr>
        <w:pStyle w:val="ListBullet"/>
      </w:pPr>
      <w:r>
        <w:t>система контроля версий Git либо эквивалентный механизм фиксации изменений;</w:t>
      </w:r>
    </w:p>
    <w:p>
      <w:pPr>
        <w:pStyle w:val="ListBullet"/>
      </w:pPr>
      <w:r>
        <w:t>фиксированный преподавателем файл зависимостей и инструкция по запуску учебного окружения.</w:t>
      </w:r>
    </w:p>
    <w:p>
      <w:r>
        <w:t>Конкретные версии инструментов утверждаются перед началом семестра. Оценочный дескриптор должен проверять воспроизводимость и качество решения, а не использование одной конкретной библиотеки.</w:t>
      </w:r>
    </w:p>
    <w:p>
      <w:pPr>
        <w:pStyle w:val="Heading2"/>
      </w:pPr>
      <w:r>
        <w:t>12.2. Требования к учебным данным</w:t>
      </w:r>
    </w:p>
    <w:p>
      <w:pPr>
        <w:pStyle w:val="ListBullet"/>
      </w:pPr>
      <w:r>
        <w:t>законное основание и понятная лицензия на использование;</w:t>
      </w:r>
    </w:p>
    <w:p>
      <w:pPr>
        <w:pStyle w:val="ListBullet"/>
      </w:pPr>
      <w:r>
        <w:t>обезличивание персональных и чувствительных сведений;</w:t>
      </w:r>
    </w:p>
    <w:p>
      <w:pPr>
        <w:pStyle w:val="ListBullet"/>
      </w:pPr>
      <w:r>
        <w:t>паспорт набора данных: источник, период, единица наблюдения, признаки, ограничения;</w:t>
      </w:r>
    </w:p>
    <w:p>
      <w:pPr>
        <w:pStyle w:val="ListBullet"/>
      </w:pPr>
      <w:r>
        <w:t>наличие содержательных дефектов качества, допускающих учебный аудит, но не делающих задачу неразрешимой;</w:t>
      </w:r>
    </w:p>
    <w:p>
      <w:pPr>
        <w:pStyle w:val="ListBullet"/>
      </w:pPr>
      <w:r>
        <w:t>контрольная версия данных и эталонный сценарий запуска для проверки воспроизводимости.</w:t>
      </w:r>
    </w:p>
    <w:p>
      <w:pPr>
        <w:pStyle w:val="Heading1"/>
      </w:pPr>
      <w:r>
        <w:t>13. Темы, сознательно вынесенные за пределы дисциплины</w:t>
      </w:r>
    </w:p>
    <w:p>
      <w:pPr>
        <w:pStyle w:val="ListBullet"/>
      </w:pPr>
      <w:r>
        <w:t>полный базовый курс Python;</w:t>
      </w:r>
    </w:p>
    <w:p>
      <w:pPr>
        <w:pStyle w:val="ListBullet"/>
      </w:pPr>
      <w:r>
        <w:t>углублённый математический анализ и доказательная статистика;</w:t>
      </w:r>
    </w:p>
    <w:p>
      <w:pPr>
        <w:pStyle w:val="ListBullet"/>
      </w:pPr>
      <w:r>
        <w:t>глубокое обучение, компьютерное зрение и обработка естественного языка;</w:t>
      </w:r>
    </w:p>
    <w:p>
      <w:pPr>
        <w:pStyle w:val="ListBullet"/>
      </w:pPr>
      <w:r>
        <w:t>большие языковые модели и интеллектуальные агенты;</w:t>
      </w:r>
    </w:p>
    <w:p>
      <w:pPr>
        <w:pStyle w:val="ListBullet"/>
      </w:pPr>
      <w:r>
        <w:t>распределённая обработка больших данных;</w:t>
      </w:r>
    </w:p>
    <w:p>
      <w:pPr>
        <w:pStyle w:val="ListBullet"/>
      </w:pPr>
      <w:r>
        <w:t>промышленное развёртывание, MLOps и эксплуатационный мониторинг моделей;</w:t>
      </w:r>
    </w:p>
    <w:p>
      <w:pPr>
        <w:pStyle w:val="ListBullet"/>
      </w:pPr>
      <w:r>
        <w:t>полноценный курс BI-систем и проектирования хранилищ данных.</w:t>
      </w:r>
    </w:p>
    <w:p>
      <w:r>
        <w:t>Эти области могут использоваться в отдельных проектах подготовленных студентов, но не входят в обязательный минимум результатов обучения.</w:t>
      </w:r>
    </w:p>
    <w:p>
      <w:pPr>
        <w:pStyle w:val="Heading1"/>
      </w:pPr>
      <w:r>
        <w:t>14. Направления продолжения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340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Следующая дисциплина</w:t>
            </w:r>
          </w:p>
        </w:tc>
        <w:tc>
          <w:tcPr>
            <w:tcW w:type="dxa" w:w="606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Развиваемые результаты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Статистические эксперименты и причинный анализ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A/B-тесты, мощность, множественные проверки, причинные методы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Анализ и прогнозирование временных рядов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Временная валидация, сезонность, статистические и ML-модели прогноза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Визуальная аналитика и BI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Системы показателей, дашборды и аналитическая коммуникация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Прикладное машинное обучение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Продвинутые модели, настройка, интерпретируемость и калибровка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Инженерия аналитических данных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Продвинутый SQL, витрины, тесты данных, DataOps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Отраслевая аналитика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Специализированные данные, метрики, ограничения и нормативные требования</w:t>
            </w:r>
          </w:p>
        </w:tc>
      </w:tr>
    </w:tbl>
    <w:p>
      <w:pPr>
        <w:spacing w:after="0"/>
      </w:pPr>
    </w:p>
    <w:p>
      <w:pPr>
        <w:pStyle w:val="Heading1"/>
      </w:pPr>
      <w:r>
        <w:t>15. Позиции, требующие решения рабочей группы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294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Вопрос</w:t>
            </w:r>
          </w:p>
        </w:tc>
        <w:tc>
          <w:tcPr>
            <w:tcW w:type="dxa" w:w="652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Требуемое решение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Образовательная программа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Указать ОПОП, направление и профиль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Место в учебном плане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Определить курс, семестр и статус дисциплины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Трудоёмкость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Подтвердить 3 ЗЕТ либо увеличить до 4 ЗЕТ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Локальные компетенции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Сопоставить КРМ с УК/ОПК/ПК и индикаторами ОПОП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Область профессиональной деятельности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Выбрать основную ОПД для кейсов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Пререквизиты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Сверить с фактическим учебным планом и результатами предшествующих дисциплин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Форма проекта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Индивидуальный проект или команды по 2–3 человека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Инфраструктура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Определить среду выполнения, хранение проектов и способ автоматической проверки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964" w:bottom="96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7F7F7F"/>
        <w:sz w:val="16"/>
      </w:rPr>
      <w:t>Проект РПД «Прикладной анализ данных»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8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Times New Roman" w:hAnsi="Times New Roman" w:eastAsia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РПД «Прикладной анализ данных»</dc:title>
  <dc:subject>Рабочая программа дисциплины на один семестр</dc:subject>
  <dc:creator>Рабочая группа разработчиков дисциплины</dc:creator>
  <cp:keywords>РПД, анализ данных, Python, КРМ, CRISP-DM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