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16"/>
        <w:jc w:val="center"/>
      </w:pPr>
      <w:r>
        <w:rPr>
          <w:rFonts w:ascii="Calibri" w:hAnsi="Calibri"/>
          <w:b/>
          <w:color w:val="1F4E79"/>
          <w:sz w:val="52"/>
        </w:rPr>
        <w:t>Входной профиль дисциплины</w:t>
      </w:r>
    </w:p>
    <w:p>
      <w:pPr>
        <w:spacing w:before="240"/>
        <w:jc w:val="center"/>
      </w:pPr>
      <w:r>
        <w:rPr>
          <w:rFonts w:ascii="Calibri" w:hAnsi="Calibri"/>
          <w:color w:val="525252"/>
          <w:sz w:val="28"/>
        </w:rPr>
        <w:t>«Прикладной анализ данных»</w:t>
      </w:r>
    </w:p>
    <w:p>
      <w:pPr>
        <w:spacing w:before="1008"/>
        <w:jc w:val="center"/>
      </w:pPr>
      <w:r>
        <w:rPr>
          <w:rFonts w:ascii="Calibri" w:hAnsi="Calibri"/>
          <w:color w:val="1F4E79"/>
          <w:sz w:val="24"/>
        </w:rPr>
        <w:t>01.03.02 «Прикладная математика и информатика»</w:t>
        <w:br/>
        <w:t>6-й семестр · 3 ЗЕТ · дифференцированный зачёт</w:t>
      </w:r>
    </w:p>
    <w:p>
      <w:pPr>
        <w:spacing w:before="1440"/>
        <w:jc w:val="center"/>
      </w:pPr>
      <w:r>
        <w:rPr>
          <w:rFonts w:ascii="Calibri" w:hAnsi="Calibri"/>
          <w:color w:val="525252"/>
          <w:sz w:val="20"/>
        </w:rPr>
        <w:t>Учебно-методический макет</w:t>
      </w:r>
      <w:r>
        <w:br w:type="page"/>
      </w:r>
    </w:p>
    <w:p>
      <w:pPr>
        <w:pStyle w:val="Heading2"/>
      </w:pPr>
      <w:r>
        <w:t>Назначение</w:t>
      </w:r>
    </w:p>
    <w:p>
      <w:r>
        <w:t>Документ описывает знания и действия, которые нужны студенту до начала дисциплины «Прикладной анализ данных». Коды ВК-1–ВК-4 введены внутри учебного комплекта, чтобы одинаково записывать пререквизиты, диагностику и результаты курса. Они не заменяют компетенции конкретной ОПОП.</w:t>
      </w:r>
    </w:p>
    <w:p>
      <w:r>
        <w:t>Учебный контекст: направление 01.03.02 «Прикладная математика и информатика», 6-й семестр.</w:t>
      </w:r>
    </w:p>
    <w:p>
      <w:pPr>
        <w:pStyle w:val="Heading2"/>
      </w:pPr>
      <w:r>
        <w:t>Входные дисциплины и компетенции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/>
          <w:tblHeader w:val="true"/>
        </w:trP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Body"/>
            </w:pPr>
            <w:r>
              <w:rPr>
                <w:b/>
                <w:color w:val="1F4E79"/>
              </w:rPr>
              <w:t>Входная компетенция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Body"/>
            </w:pPr>
            <w:r>
              <w:rPr>
                <w:b/>
                <w:color w:val="1F4E79"/>
              </w:rPr>
              <w:t>Предшествующие дисциплины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Body"/>
            </w:pPr>
            <w:r>
              <w:rPr>
                <w:b/>
                <w:color w:val="1F4E79"/>
              </w:rPr>
              <w:t>Индикатор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Body"/>
            </w:pPr>
            <w:r>
              <w:rPr>
                <w:b/>
                <w:color w:val="1F4E79"/>
              </w:rPr>
              <w:t>Что студент должен уметь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Body"/>
            </w:pPr>
            <w:r>
              <w:t>ВК-1 — применяет базовый математический аппарат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Body"/>
            </w:pPr>
            <w:r>
              <w:t>математический анализ, линейная алгебра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Body"/>
            </w:pPr>
            <w:r>
              <w:t>ВК-1.1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Body"/>
            </w:pPr>
            <w:r>
              <w:t>интерпретировать производную, экстремум и градиент в простой задаче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pPr>
              <w:pStyle w:val="TableBody"/>
            </w:pPr>
            <w:r>
              <w:t>ВК-1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pPr>
              <w:pStyle w:val="TableBody"/>
            </w:pPr>
            <w:r>
              <w:t>математический анализ, линейная алгебра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pPr>
              <w:pStyle w:val="TableBody"/>
            </w:pPr>
            <w:r>
              <w:t>ВК-1.2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pPr>
              <w:pStyle w:val="TableBody"/>
            </w:pPr>
            <w:r>
              <w:t>выполнять операции с векторами и матрицами, учитывать расстояние и масштаб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Body"/>
            </w:pPr>
            <w:r>
              <w:t>ВК-2 — применяет основы вероятности и статистики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Body"/>
            </w:pPr>
            <w:r>
              <w:t>теория вероятностей, математическая статистика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Body"/>
            </w:pPr>
            <w:r>
              <w:t>ВК-2.1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Body"/>
            </w:pPr>
            <w:r>
              <w:t>рассчитывать и объяснять описательные статистики, различать выборку и генеральную совокупность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pPr>
              <w:pStyle w:val="TableBody"/>
            </w:pPr>
            <w:r>
              <w:t>ВК-2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pPr>
              <w:pStyle w:val="TableBody"/>
            </w:pPr>
            <w:r>
              <w:t>теория вероятностей, математическая статистика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pPr>
              <w:pStyle w:val="TableBody"/>
            </w:pPr>
            <w:r>
              <w:t>ВК-2.2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pPr>
              <w:pStyle w:val="TableBody"/>
            </w:pPr>
            <w:r>
              <w:t>интерпретировать корреляцию, доверительный интервал и результат простой проверки гипотезы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Body"/>
            </w:pPr>
            <w:r>
              <w:t>ВК-3 — использует Python для обработки данных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Body"/>
            </w:pPr>
            <w:r>
              <w:t>основы программирования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Body"/>
            </w:pPr>
            <w:r>
              <w:t>ВК-3.1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Body"/>
            </w:pPr>
            <w:r>
              <w:t>писать функции, работать с коллекциями, файлами и модулями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pPr>
              <w:pStyle w:val="TableBody"/>
            </w:pPr>
            <w:r>
              <w:t>ВК-3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pPr>
              <w:pStyle w:val="TableBody"/>
            </w:pPr>
            <w:r>
              <w:t>основы программирования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pPr>
              <w:pStyle w:val="TableBody"/>
            </w:pPr>
            <w:r>
              <w:t>ВК-3.2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pPr>
              <w:pStyle w:val="TableBody"/>
            </w:pPr>
            <w:r>
              <w:t>запускать ноутбук с начала и выполнять базовые операции в NumPy и pandas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Body"/>
            </w:pPr>
            <w:r>
              <w:t>ВК-4 — выполняет базовую подготовку и выборку данных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Body"/>
            </w:pPr>
            <w:r>
              <w:t>технологии обработки данных, базы данных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Body"/>
            </w:pPr>
            <w:r>
              <w:t>ВК-4.1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Body"/>
            </w:pPr>
            <w:r>
              <w:t>различать типы и гранулярность данных, объединять, фильтровать и агрегировать таблицы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pPr>
              <w:pStyle w:val="TableBody"/>
            </w:pPr>
            <w:r>
              <w:t>ВК-4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pPr>
              <w:pStyle w:val="TableBody"/>
            </w:pPr>
            <w:r>
              <w:t>технологии обработки данных, базы данных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pPr>
              <w:pStyle w:val="TableBody"/>
            </w:pPr>
            <w:r>
              <w:t>ВК-4.2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pPr>
              <w:pStyle w:val="TableBody"/>
            </w:pPr>
            <w:r>
              <w:t>распознавать пропуски и дубликаты, составлять простой SQL-запрос</w:t>
            </w:r>
          </w:p>
        </w:tc>
      </w:tr>
    </w:tbl>
    <w:p>
      <w:pPr>
        <w:spacing w:after="20"/>
      </w:pPr>
    </w:p>
    <w:p>
      <w:pPr>
        <w:pStyle w:val="Heading2"/>
      </w:pPr>
      <w:r>
        <w:t>Проверка на входе</w:t>
      </w:r>
    </w:p>
    <w:p>
      <w:r>
        <w:t>КИМ-0 проводится на первой неделе и не входит в итоговые 100 баллов. Его результат нужен для адресного повторения: преподаватель отмечает недостигнутые индикаторы и назначает материалы из карты выравнивания.</w:t>
      </w:r>
    </w:p>
    <w:p>
      <w:r>
        <w:t>Студент допускается к зависимому этапу после исправления тех пробелов, которые мешают выполнить соответствующее действие. Например, затруднение с объединением таблиц закрывается до построения паспорта данных, а ошибка в интерпретации корреляции — до выводов по EDA. Диагностика не заменяет КИМ-1–КИМ-6.</w:t>
      </w:r>
    </w:p>
    <w:p>
      <w:pPr>
        <w:pStyle w:val="Heading2"/>
      </w:pPr>
      <w:r>
        <w:t>Переход к результатам дисциплины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  <w:tblHeader w:val="true"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Body"/>
            </w:pPr>
            <w:r>
              <w:rPr>
                <w:b/>
                <w:color w:val="1F4E79"/>
              </w:rPr>
              <w:t>Входная основа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Body"/>
            </w:pPr>
            <w:r>
              <w:rPr>
                <w:b/>
                <w:color w:val="1F4E79"/>
              </w:rPr>
              <w:t>Где используется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Body"/>
            </w:pPr>
            <w:r>
              <w:rPr>
                <w:b/>
                <w:color w:val="1F4E79"/>
              </w:rPr>
              <w:t>Целевой результат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Body"/>
            </w:pPr>
            <w:r>
              <w:t>ВК-1, ВК-2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Body"/>
            </w:pPr>
            <w:r>
              <w:t>EDA, статистические выводы, метрики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Body"/>
            </w:pPr>
            <w:r>
              <w:t>BD-1.2, ML-2.3, уровень С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pPr>
              <w:pStyle w:val="TableBody"/>
            </w:pPr>
            <w:r>
              <w:t>ВК-3, ВК-4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pPr>
              <w:pStyle w:val="TableBody"/>
            </w:pPr>
            <w:r>
              <w:t>воспроизводимая подготовка данных и признаков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pPr>
              <w:pStyle w:val="TableBody"/>
            </w:pPr>
            <w:r>
              <w:t>BD-1.3, BD-1.5, ML-2.2, уровень С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Body"/>
            </w:pPr>
            <w:r>
              <w:t>все входные компетенции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Body"/>
            </w:pPr>
            <w:r>
              <w:t>постановка, моделирование и защита проекта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Body"/>
            </w:pPr>
            <w:r>
              <w:t>LC-1.1, ML-2.1, итоговый аналитический продукт</w:t>
            </w:r>
          </w:p>
        </w:tc>
      </w:tr>
    </w:tbl>
    <w:p>
      <w:pPr>
        <w:spacing w:after="20"/>
      </w:pPr>
    </w:p>
    <w:p>
      <w:r>
        <w:t>Дальнейшее достижение рекомендованного для роли Data Analyst уровня П по BD-1 требует нескольких самостоятельных работ в новых условиях. Возможные элементы, артефакты и формы контроля приведены в траектории роли.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440" w:bottom="1224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25252"/>
        <w:sz w:val="16"/>
      </w:rPr>
      <w:t>Прикладной анализ данных · учебно-методический комплект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F4E79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0" w:hanging="271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0" w:hanging="271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120"/>
      <w:ind w:left="360"/>
    </w:pPr>
    <w:rPr>
      <w:rFonts w:ascii="Calibri" w:hAnsi="Calibri"/>
      <w:i w:val="0"/>
      <w:iCs/>
      <w:color w:val="1F4E79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Body">
    <w:name w:val="Table Body"/>
    <w:pPr>
      <w:spacing w:after="0" w:line="240" w:lineRule="auto"/>
    </w:pPr>
    <w:rPr>
      <w:rFonts w:ascii="Calibri" w:hAnsi="Calibri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Входной профиль дисциплины</dc:title>
  <dc:subject>«Прикладной анализ данных»</dc:subject>
  <dc:creator>DiDiLight</dc:creator>
  <cp:keywords/>
  <dc:description>Синхронизировано с Markdown-версией репозитория.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