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16"/>
        <w:jc w:val="center"/>
      </w:pPr>
      <w:r>
        <w:rPr>
          <w:rFonts w:ascii="Calibri" w:hAnsi="Calibri"/>
          <w:b/>
          <w:color w:val="1F4E79"/>
          <w:sz w:val="52"/>
        </w:rPr>
        <w:t>Рабочая программа дисциплины</w:t>
      </w:r>
    </w:p>
    <w:p>
      <w:pPr>
        <w:spacing w:before="240"/>
        <w:jc w:val="center"/>
      </w:pPr>
      <w:r>
        <w:rPr>
          <w:rFonts w:ascii="Calibri" w:hAnsi="Calibri"/>
          <w:color w:val="525252"/>
          <w:sz w:val="28"/>
        </w:rPr>
        <w:t>«Прикладной анализ данных»</w:t>
      </w:r>
    </w:p>
    <w:p>
      <w:pPr>
        <w:spacing w:before="1008"/>
        <w:jc w:val="center"/>
      </w:pPr>
      <w:r>
        <w:rPr>
          <w:rFonts w:ascii="Calibri" w:hAnsi="Calibri"/>
          <w:color w:val="1F4E79"/>
          <w:sz w:val="24"/>
        </w:rPr>
        <w:t>01.03.02 «Прикладная математика и информатика»</w:t>
        <w:br/>
        <w:t>6-й семестр · 3 ЗЕТ · дифференцированный зачёт</w:t>
      </w:r>
    </w:p>
    <w:p>
      <w:pPr>
        <w:spacing w:before="1440"/>
        <w:jc w:val="center"/>
      </w:pPr>
      <w:r>
        <w:rPr>
          <w:rFonts w:ascii="Calibri" w:hAnsi="Calibri"/>
          <w:color w:val="525252"/>
          <w:sz w:val="20"/>
        </w:rPr>
        <w:t>Учебно-методический макет</w:t>
      </w:r>
      <w:r>
        <w:br w:type="page"/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27"/>
        <w:gridCol w:w="7027"/>
      </w:tblGrid>
      <w:tr>
        <w:trPr>
          <w:cantSplit/>
          <w:tblHeader w:val="true"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Поле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Название дисциплины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Прикладной анализ данных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Учебный контекст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направление 01.03.02 «Прикладная математика и информатика», 6-й семестр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Статус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учебный макет; не является утверждённой РПД конкретной образовательной организации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Уровень образования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высшее образование — бакалавриат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Профессиональная роль КРМ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Data Analyst (аналитик данных)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Объём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3 ЗЕТ, 108 часов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Формат обучения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очный с применением электронного обучения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Форма промежуточной аттестации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дифференцированный зачёт с индивидуальной защитой проекта</w:t>
            </w:r>
          </w:p>
        </w:tc>
      </w:tr>
    </w:tbl>
    <w:p>
      <w:pPr>
        <w:spacing w:after="20"/>
      </w:pPr>
    </w:p>
    <w:p>
      <w:pPr>
        <w:pStyle w:val="Heading2"/>
      </w:pPr>
      <w:r>
        <w:t>2. Цель и задачи</w:t>
      </w:r>
    </w:p>
    <w:p>
      <w:r>
        <w:t>Цель: сформировать способность преобразовывать прикладную проблему в воспроизводимое аналитическое решение: определить требования к данным, исследовать и подготовить данные, построить и проверить модели, сформулировать выводы и рекомендации.</w:t>
      </w:r>
    </w:p>
    <w:p>
      <w:r>
        <w:t>Задачи:</w:t>
      </w:r>
    </w:p>
    <w:p>
      <w:pPr>
        <w:pStyle w:val="ListNumber"/>
      </w:pPr>
      <w:r>
        <w:t>формализовать проблему, пользователя результата и критерии успешности;</w:t>
      </w:r>
    </w:p>
    <w:p>
      <w:pPr>
        <w:pStyle w:val="ListNumber"/>
      </w:pPr>
      <w:r>
        <w:t>оценивать происхождение, структуру и качество данных;</w:t>
      </w:r>
    </w:p>
    <w:p>
      <w:pPr>
        <w:pStyle w:val="ListNumber"/>
      </w:pPr>
      <w:r>
        <w:t>проводить разведочный анализ и проверять содержательные гипотезы;</w:t>
      </w:r>
    </w:p>
    <w:p>
      <w:pPr>
        <w:pStyle w:val="ListNumber"/>
      </w:pPr>
      <w:r>
        <w:t>строить воспроизводимый процесс очистки и формирования признаков;</w:t>
      </w:r>
    </w:p>
    <w:p>
      <w:pPr>
        <w:pStyle w:val="ListNumber"/>
      </w:pPr>
      <w:r>
        <w:t>выбирать тип ML-задачи, создавать baseline и альтернативные модели;</w:t>
      </w:r>
    </w:p>
    <w:p>
      <w:pPr>
        <w:pStyle w:val="ListNumber"/>
      </w:pPr>
      <w:r>
        <w:t>применять валидацию, метрики и анализ ошибок;</w:t>
      </w:r>
    </w:p>
    <w:p>
      <w:pPr>
        <w:pStyle w:val="ListNumber"/>
      </w:pPr>
      <w:r>
        <w:t>представлять аналитический продукт и аргументированно защищать решения.</w:t>
      </w:r>
    </w:p>
    <w:p>
      <w:pPr>
        <w:pStyle w:val="Heading2"/>
      </w:pPr>
      <w:r>
        <w:t>3. Пререквизиты</w:t>
      </w:r>
    </w:p>
    <w:p>
      <w:r>
        <w:t>Входные требования записаны тем же способом, что и результаты дисциплины: через компетенции и индикаторы. Коды ВК являются внутренними для учебного проекта и не заменяют коды образовательной программы.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11"/>
        <w:gridCol w:w="2811"/>
        <w:gridCol w:w="2811"/>
        <w:gridCol w:w="2811"/>
        <w:gridCol w:w="2811"/>
      </w:tblGrid>
      <w:tr>
        <w:trPr>
          <w:cantSplit/>
          <w:tblHeader w:val="true"/>
        </w:trPr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Входная компетенция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Индикаторы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Предшествующие дисциплины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Требуемый результат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Уровень</w:t>
            </w:r>
          </w:p>
        </w:tc>
      </w:tr>
      <w:tr>
        <w:trPr>
          <w:cantSplit/>
        </w:trPr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ВК-1 — применяет базовый математический аппарат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ВК-1.1, ВК-1.2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математический анализ, линейная алгебра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интерпретирует производную, экстремум и градиент; выполняет базовые операции с векторами и матрицами, понимает расстояние и масштаб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Б</w:t>
            </w:r>
          </w:p>
        </w:tc>
      </w:tr>
      <w:tr>
        <w:trPr>
          <w:cantSplit/>
        </w:trPr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ВК-2 — применяет основы вероятности и статистики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ВК-2.1, ВК-2.2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теория вероятностей, математическая статистика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интерпретирует описательные статистики, выборку, корреляцию, доверительный интервал и простую проверку гипотезы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Б</w:t>
            </w:r>
          </w:p>
        </w:tc>
      </w:tr>
      <w:tr>
        <w:trPr>
          <w:cantSplit/>
        </w:trPr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ВК-3 — использует Python для задач обработки данных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ВК-3.1, ВК-3.2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основы программирования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пишет функции, работает с коллекциями, файлами и модулями; запускает ноутбук с начала и выполняет базовые операции pandas/NumPy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Б</w:t>
            </w:r>
          </w:p>
        </w:tc>
      </w:tr>
      <w:tr>
        <w:trPr>
          <w:cantSplit/>
        </w:trPr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ВК-4 — выполняет базовую подготовку и выборку данных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ВК-4.1, ВК-4.2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основы технологий обработки данных, базы данных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различает типы и гранулярность, объединяет и агрегирует таблицы, обрабатывает пропуски, составляет простой SQL-запрос</w:t>
            </w:r>
          </w:p>
        </w:tc>
        <w:tc>
          <w:tcPr>
            <w:tcW w:type="dxa" w:w="28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Б</w:t>
            </w:r>
          </w:p>
        </w:tc>
      </w:tr>
    </w:tbl>
    <w:p>
      <w:pPr>
        <w:spacing w:after="20"/>
      </w:pPr>
    </w:p>
    <w:p>
      <w:r>
        <w:t>На первой неделе проводится полноценный диагностический КИМ-0. Он не влияет на итоговый балл. По нулевым результатам преподаватель назначает короткое повторение и повторно проверяет только недостигнутые индикаторы.</w:t>
      </w:r>
    </w:p>
    <w:p>
      <w:pPr>
        <w:pStyle w:val="Heading2"/>
      </w:pPr>
      <w:r>
        <w:t>4. Целевые компетенции и результаты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  <w:gridCol w:w="3513"/>
      </w:tblGrid>
      <w:tr>
        <w:trPr>
          <w:cantSplit/>
          <w:tblHeader w:val="true"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Код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Индикатор КРМ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Уровень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Результат в контексте дисциплины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LC-1.1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Формализует бизнес-цели и вырабатывает под них стратегии внедрения ИИ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формализует прикладную проблему, аналитическую цель, ограничения, требования к данным и критерии успешности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BD-1.2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Обосновывает способы и варианты применения методов предварительного анализа данных в задачах ИИ, включая их математическое (алгоритмическое) преобразование и адаптацию к специфике задачи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проводит одномерный и многомерный EDA, выбирает визуализации и проверяемые гипотезы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BD-1.3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Применяет методы анализа данных для проверки разведочных гипотез и подготовки данных к применению современных методов ИИ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обосновывает обработку пропусков, выбросов, дубликатов и иных дефектов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BD-1.5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Отбирает признаки данных, значимые для исследования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отбирает, преобразует и создаёт признаки без утечки данных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ML-2.1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Различает основные типы задач МО и применяет на практике принципы их решения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связывает прикладную цель с типом задачи, строит baseline и альтернативы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ML-2.2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Применяет методы предварительной обработки данных и работы с признаками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реализует единый обучаемый пайплайн преобразований</w:t>
            </w:r>
          </w:p>
        </w:tc>
      </w:tr>
      <w:tr>
        <w:trPr>
          <w:cantSplit/>
        </w:trPr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ML-2.3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Решает проблемы несбалансированных данных и оценивает качество моделей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  <w:tc>
          <w:tcPr>
            <w:tcW w:type="dxa" w:w="35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выбирает схему валидации и метрики, анализирует переобучение и ошибки</w:t>
            </w:r>
          </w:p>
        </w:tc>
      </w:tr>
    </w:tbl>
    <w:p>
      <w:pPr>
        <w:spacing w:after="20"/>
      </w:pPr>
    </w:p>
    <w:p>
      <w:r>
        <w:t>Исходные формулировки сверяются с книгой КРМ 3.0; предметные дескрипторы не заменяют формулировки КРМ, а уточняют наблюдаемое действие в рамках дисциплины.</w:t>
      </w:r>
    </w:p>
    <w:p>
      <w:r>
        <w:t>Правила уровней, входные компетенции и условия подтверждения индикаторов собраны в модели компетенций.</w:t>
      </w:r>
    </w:p>
    <w:p>
      <w:pPr>
        <w:pStyle w:val="Heading3"/>
      </w:pPr>
      <w:r>
        <w:t>Место BD-1 в траектории роли</w:t>
      </w:r>
    </w:p>
    <w:p>
      <w:r>
        <w:t>Для роли Data Analyst КРМ 3.0 рекомендует по BD-1 уровень П. Результат этой дисциплины ограничен промежуточным уровнем С: в течение 3 ЗЕТ студент осваивает и защищает полный цикл одного аналитического проекта, но не может показать устойчивый перенос решений между несколькими новыми предметными областями и организационными условиями.</w:t>
      </w:r>
    </w:p>
    <w:p>
      <w:r>
        <w:t>Уровень П может формироваться позднее — в последующих дисциплинах, проектном практикуме, практике, НИРС или выпускной работе. Это возможные варианты продолжения, которые выбираются при проектировании образовательной программы; в состав этой дисциплины они не входят. Связка компетенций, артефактов и форм контроля приведена в траектории роли Data Analyst.</w:t>
      </w:r>
    </w:p>
    <w:p>
      <w:pPr>
        <w:pStyle w:val="Heading2"/>
      </w:pPr>
      <w:r>
        <w:t>5. Трудоёмкость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27"/>
        <w:gridCol w:w="7027"/>
      </w:tblGrid>
      <w:tr>
        <w:trPr>
          <w:cantSplit/>
          <w:tblHeader w:val="true"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Вид работы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Часы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Лекции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16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Практические и лабораторные занятия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Промежуточная аттестация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Самостоятельная работа, включая проект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59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Всего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108</w:t>
            </w:r>
          </w:p>
        </w:tc>
      </w:tr>
    </w:tbl>
    <w:p>
      <w:pPr>
        <w:spacing w:after="20"/>
      </w:pPr>
    </w:p>
    <w:p>
      <w:pPr>
        <w:pStyle w:val="Heading2"/>
      </w:pPr>
      <w:r>
        <w:t>6. Структура дисциплины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08"/>
        <w:gridCol w:w="2008"/>
        <w:gridCol w:w="2008"/>
        <w:gridCol w:w="2008"/>
        <w:gridCol w:w="2008"/>
        <w:gridCol w:w="2008"/>
        <w:gridCol w:w="2008"/>
      </w:tblGrid>
      <w:tr>
        <w:trPr>
          <w:cantSplit/>
          <w:tblHeader w:val="true"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Элемент дисциплины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Содержание (тематические сущности)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Форма занятия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Объём, а.ч.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Компетенция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Индикатор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Уровень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Модуль 1. Постановка прикладной задачи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проблема, цель, заинтересованные стороны, ограничения, требования к данным, критерии успешности; обзор CRISP-DM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Л/П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2/4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LC-1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1.1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Модуль 2. Понимание и исследование данных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источники, гранулярность, словарь, качество, описательная статистика, визуализация, одномерный и многомерный EDA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Л/П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4/6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BD-1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1.2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Модуль 3. Подготовка данных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пропуски, дубликаты, выбросы, типы; кодирование, масштабирование, отбор и создание признаков, утечка данных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Л/П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2/8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BD-1, ML-2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1.3, 1.5, 2.2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Модуль 4. Моделирование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типы задач, baseline, регрессия, классификация, кластеризация, линейные модели, деревья, ансамбли, интерпретация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Л/П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4/8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ML-2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2.1, 2.2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Модуль 5. Оценка результатов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разбиение, кросс-валидация, метрики, дисбаланс, сравнение моделей, анализ ошибок и неопределённости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Л/П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2/4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ML-2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2.3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Модуль 6. Аналитический продукт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визуальное представление, ограничения, этика, рекомендации, план применения и воспроизводимость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Л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LC-1, BD-1, ML-2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все заявленные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С</w:t>
            </w:r>
          </w:p>
        </w:tc>
      </w:tr>
      <w:tr>
        <w:trPr>
          <w:cantSplit/>
        </w:trPr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Дифференцированный зачёт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представление итогового проекта, индивидуальные вопросы и проверка владения проектом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ДЗ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3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LC-1, BD-1, ML-2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все заявленные</w:t>
            </w:r>
          </w:p>
        </w:tc>
        <w:tc>
          <w:tcPr>
            <w:tcW w:type="dxa" w:w="2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С</w:t>
            </w:r>
          </w:p>
        </w:tc>
      </w:tr>
    </w:tbl>
    <w:p>
      <w:pPr>
        <w:spacing w:after="20"/>
      </w:pPr>
    </w:p>
    <w:p>
      <w:r>
        <w:t>Самостоятельная работа распределяется между подготовкой контрольных точек и интеграцией итогового проекта.</w:t>
      </w:r>
    </w:p>
    <w:p>
      <w:pPr>
        <w:pStyle w:val="Heading2"/>
      </w:pPr>
      <w:r>
        <w:t>7. Организация обучения</w:t>
      </w:r>
    </w:p>
    <w:p>
      <w:r>
        <w:t>Каждый модуль объединяет общий учебный контур и параллельный проектный контур:</w:t>
      </w:r>
    </w:p>
    <w:p>
      <w:pPr>
        <w:pStyle w:val="ListNumber"/>
      </w:pPr>
      <w:r>
        <w:t>на лекции преподаватель вводит этап анализа, понятия, методы и типовые риски;</w:t>
      </w:r>
    </w:p>
    <w:p>
      <w:pPr>
        <w:pStyle w:val="ListNumber"/>
      </w:pPr>
      <w:r>
        <w:t>на лабораторной студенты вместе с преподавателем выполняют управляемое задание на общем учебном кейсе;</w:t>
      </w:r>
    </w:p>
    <w:p>
      <w:pPr>
        <w:pStyle w:val="ListNumber"/>
      </w:pPr>
      <w:r>
        <w:t>после занятия каждый студент или пара применяет тот же этап к собственному проекту;</w:t>
      </w:r>
    </w:p>
    <w:p>
      <w:pPr>
        <w:pStyle w:val="ListNumber"/>
      </w:pPr>
      <w:r>
        <w:t>результат оформляется как очередная контрольная точка и получает обратную связь до перехода к следующему этапу;</w:t>
      </w:r>
    </w:p>
    <w:p>
      <w:pPr>
        <w:pStyle w:val="ListNumber"/>
      </w:pPr>
      <w:r>
        <w:t>после EDA и оценки модели допускается обоснованный возврат к постановке и данным.</w:t>
      </w:r>
    </w:p>
    <w:p>
      <w:r>
        <w:t>Таким образом, новый материал не изучается изолированно: студент сразу переносит его в свою предметную область, постепенно собирает проект и к концу семестра видит весь цикл CRISP-DM. Проект выполняется индивидуально или в паре; защита всегда индивидуальная.</w:t>
      </w:r>
    </w:p>
    <w:p>
      <w:pPr>
        <w:pStyle w:val="Heading2"/>
      </w:pPr>
      <w:r>
        <w:t>8. Система оценки результатов обучения</w:t>
      </w:r>
    </w:p>
    <w:p>
      <w:r>
        <w:t>Суммарная оценка формируется только из шести контрольных точек сквозного проекта и индивидуальной защиты. Каждый балл отнесён к конкретному индикатору. КИМ-0 и мини-коллоквиум используются для диагностики, обратной связи и готовности к зависимому этапу, но баллов не добавляют. Основным доказательством освоения остаётся проектный артефакт. Карта покрытия и минимальные пороги приведены в паспорте ФОС, правила суммирования и пересдачи — в системе оценивания.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027"/>
        <w:gridCol w:w="7027"/>
      </w:tblGrid>
      <w:tr>
        <w:trPr>
          <w:cantSplit/>
          <w:tblHeader w:val="true"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Итоговый балл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Body"/>
            </w:pPr>
            <w:r>
              <w:rPr>
                <w:b/>
                <w:color w:val="1F4E79"/>
              </w:rPr>
              <w:t>Оценка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86–100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5 — отлично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70–85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4 — хорошо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50–69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Body"/>
            </w:pPr>
            <w:r>
              <w:t>3 — удовлетворительно</w:t>
            </w:r>
          </w:p>
        </w:tc>
      </w:tr>
      <w:tr>
        <w:trPr>
          <w:cantSplit/>
        </w:trPr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0–49</w:t>
            </w:r>
          </w:p>
        </w:tc>
        <w:tc>
          <w:tcPr>
            <w:tcW w:type="dxa" w:w="70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</w:tcPr>
          <w:p>
            <w:pPr>
              <w:pStyle w:val="TableBody"/>
            </w:pPr>
            <w:r>
              <w:t>2 — неудовлетворительно</w:t>
            </w:r>
          </w:p>
        </w:tc>
      </w:tr>
    </w:tbl>
    <w:p>
      <w:pPr>
        <w:spacing w:after="20"/>
      </w:pPr>
    </w:p>
    <w:p>
      <w:r>
        <w:t>Дифференцированный зачёт проводится для группы до 20 человек в течение 180 минут. Индивидуальный проект защищается в восьмиминутном слоте. Для парного проекта предусмотрена общая шестиминутная презентация и отдельные вопросы каждому участнику. Подробный регламент находится в разделе Exam.</w:t>
      </w:r>
    </w:p>
    <w:p>
      <w:pPr>
        <w:pStyle w:val="Heading2"/>
      </w:pPr>
      <w:r>
        <w:t>9. Программные средства и данные</w:t>
      </w:r>
    </w:p>
    <w:p>
      <w:r>
        <w:t>Основной стек: Python, Jupyter, NumPy, pandas, SciPy/statsmodels, Matplotlib/Seaborn и scikit-learn. Читаемые диапазоны приведены в requirements.txt, точное окружение — в requirements-lock.txt. Учебные данные и условия использования описаны в каталоге датасетов.</w:t>
      </w:r>
    </w:p>
    <w:p>
      <w:pPr>
        <w:pStyle w:val="Heading2"/>
      </w:pPr>
      <w:r>
        <w:t>10. Методические особенности</w:t>
      </w:r>
    </w:p>
    <w:p>
      <w:pPr>
        <w:pStyle w:val="ListBullet"/>
      </w:pPr>
      <w:r>
        <w:t>оценивается наблюдаемый аналитический результат, а не воспроизведение синтаксиса;</w:t>
      </w:r>
    </w:p>
    <w:p>
      <w:pPr>
        <w:pStyle w:val="ListBullet"/>
      </w:pPr>
      <w:r>
        <w:t>любое решение должно быть воспроизводимо из чистого окружения;</w:t>
      </w:r>
    </w:p>
    <w:p>
      <w:pPr>
        <w:pStyle w:val="ListBullet"/>
      </w:pPr>
      <w:r>
        <w:t>использование внешнего кода, текста и ИИ-инструментов фиксируется в журнале; студент отвечает за проверку и объяснение результата;</w:t>
      </w:r>
    </w:p>
    <w:p>
      <w:pPr>
        <w:pStyle w:val="ListBullet"/>
      </w:pPr>
      <w:r>
        <w:t>корреляционные выводы не представляются как причинные без отдельного дизайна исследования;</w:t>
      </w:r>
    </w:p>
    <w:p>
      <w:pPr>
        <w:pStyle w:val="ListBullet"/>
      </w:pPr>
      <w:r>
        <w:t>утечка целевой переменной и некорректная валидация должны быть исправлены до зачёта.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936" w:right="893" w:bottom="936" w:left="89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25252"/>
        <w:sz w:val="16"/>
      </w:rPr>
      <w:t>Прикладной анализ данных · учебно-методический комплект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0" w:hanging="271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0" w:hanging="271"/>
      <w:contextualSpacing/>
    </w:pPr>
    <w:rPr>
      <w:rFonts w:ascii="Calibri" w:hAnsi="Calibri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/>
      <w:ind w:left="360"/>
    </w:pPr>
    <w:rPr>
      <w:rFonts w:ascii="Calibri" w:hAnsi="Calibri"/>
      <w:i w:val="0"/>
      <w:iCs/>
      <w:color w:val="1F4E79"/>
      <w:sz w:val="19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pPr>
      <w:spacing w:after="0" w:line="240" w:lineRule="auto"/>
    </w:pPr>
    <w:rPr>
      <w:rFonts w:ascii="Calibri" w:hAnsi="Calibri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дисциплины</dc:title>
  <dc:subject>«Прикладной анализ данных»</dc:subject>
  <dc:creator>DiDiLight</dc:creator>
  <cp:keywords/>
  <dc:description>Синхронизировано с Markdown-версией репозитория.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