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Barlow" w:cs="Barlow" w:eastAsia="Barlow" w:hAnsi="Barlow"/>
          <w:sz w:val="20"/>
          <w:szCs w:val="20"/>
          <w:shd w:fill="auto" w:val="clear"/>
        </w:rPr>
      </w:pPr>
      <w:r w:rsidDel="00000000" w:rsidR="00000000" w:rsidRPr="00000000">
        <w:rPr>
          <w:rtl w:val="0"/>
        </w:rPr>
      </w:r>
    </w:p>
    <w:tbl>
      <w:tblPr>
        <w:tblStyle w:val="Table1"/>
        <w:tblW w:w="1111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190"/>
        <w:gridCol w:w="1515"/>
        <w:gridCol w:w="2385"/>
        <w:tblGridChange w:id="0">
          <w:tblGrid>
            <w:gridCol w:w="2025"/>
            <w:gridCol w:w="5190"/>
            <w:gridCol w:w="1515"/>
            <w:gridCol w:w="238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Buyer Name: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Address: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Place</w:t>
            </w:r>
            <w:r w:rsidDel="00000000" w:rsidR="00000000" w:rsidRPr="00000000">
              <w:rPr>
                <w:rtl w:val="0"/>
              </w:rPr>
            </w:r>
          </w:p>
        </w:tc>
      </w:tr>
      <w:tr>
        <w:trPr>
          <w:cantSplit w:val="0"/>
          <w:trHeight w:val="6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Coordinate Appointments with:</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MLS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Buyer Phone: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Who to Contact for an  offer:</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Important Email Addresses: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Buyer Wish List: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0"/>
                <w:szCs w:val="20"/>
                <w:shd w:fill="auto" w:val="clear"/>
              </w:rPr>
            </w:pPr>
            <w:r w:rsidDel="00000000" w:rsidR="00000000" w:rsidRPr="00000000">
              <w:rPr>
                <w:rtl w:val="0"/>
              </w:rPr>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Barlow" w:cs="Barlow" w:eastAsia="Barlow" w:hAnsi="Barlow"/>
          <w:sz w:val="20"/>
          <w:szCs w:val="20"/>
          <w:shd w:fill="auto" w:val="clea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Barlow" w:cs="Barlow" w:eastAsia="Barlow" w:hAnsi="Barlow"/>
          <w:sz w:val="20"/>
          <w:szCs w:val="20"/>
          <w:shd w:fill="auto" w:val="clear"/>
        </w:rPr>
      </w:pPr>
      <w:hyperlink r:id="rId6">
        <w:r w:rsidDel="00000000" w:rsidR="00000000" w:rsidRPr="00000000">
          <w:rPr>
            <w:rFonts w:ascii="Barlow" w:cs="Barlow" w:eastAsia="Barlow" w:hAnsi="Barlow"/>
            <w:color w:val="1155cc"/>
            <w:sz w:val="20"/>
            <w:szCs w:val="20"/>
            <w:u w:val="single"/>
            <w:shd w:fill="auto" w:val="clear"/>
            <w:rtl w:val="0"/>
          </w:rPr>
          <w:t xml:space="preserve">Buyer Checklist Pamphlet:</w:t>
        </w:r>
      </w:hyperlink>
      <w:r w:rsidDel="00000000" w:rsidR="00000000" w:rsidRPr="00000000">
        <w:rPr>
          <w:rtl w:val="0"/>
        </w:rPr>
      </w:r>
    </w:p>
    <w:p w:rsidR="00000000" w:rsidDel="00000000" w:rsidP="00000000" w:rsidRDefault="00000000" w:rsidRPr="00000000" w14:paraId="0000001C">
      <w:pPr>
        <w:widowControl w:val="0"/>
        <w:spacing w:line="276" w:lineRule="auto"/>
        <w:rPr>
          <w:rFonts w:ascii="Arial" w:cs="Arial" w:eastAsia="Arial" w:hAnsi="Arial"/>
          <w:sz w:val="22"/>
          <w:szCs w:val="22"/>
          <w:shd w:fill="auto" w:val="clear"/>
        </w:rPr>
      </w:pPr>
      <w:r w:rsidDel="00000000" w:rsidR="00000000" w:rsidRPr="00000000">
        <w:rPr>
          <w:rtl w:val="0"/>
        </w:rPr>
      </w:r>
    </w:p>
    <w:tbl>
      <w:tblPr>
        <w:tblStyle w:val="Table2"/>
        <w:tblW w:w="11145.0" w:type="dxa"/>
        <w:jc w:val="left"/>
        <w:tblInd w:w="-88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445"/>
        <w:gridCol w:w="8700"/>
        <w:tblGridChange w:id="0">
          <w:tblGrid>
            <w:gridCol w:w="2445"/>
            <w:gridCol w:w="8700"/>
          </w:tblGrid>
        </w:tblGridChange>
      </w:tblGrid>
      <w:tr>
        <w:trPr>
          <w:cantSplit w:val="0"/>
          <w:trHeight w:val="50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1D">
            <w:pPr>
              <w:widowControl w:val="0"/>
              <w:numPr>
                <w:ilvl w:val="0"/>
                <w:numId w:val="3"/>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Consultation</w:t>
            </w:r>
          </w:p>
        </w:tc>
        <w:tc>
          <w:tcPr>
            <w:tcMar>
              <w:top w:w="140.0" w:type="dxa"/>
              <w:left w:w="140.0" w:type="dxa"/>
              <w:bottom w:w="140.0" w:type="dxa"/>
              <w:right w:w="140.0" w:type="dxa"/>
            </w:tcMar>
            <w:vAlign w:val="center"/>
          </w:tcPr>
          <w:p w:rsidR="00000000" w:rsidDel="00000000" w:rsidP="00000000" w:rsidRDefault="00000000" w:rsidRPr="00000000" w14:paraId="0000001E">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We review the buying process and ask questions about what your goals are for your next home. We’ll also discuss our duties as your Buyer Representative. Eventually we’ll need to agree to work with each other through a Representation Agreement.</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1F">
            <w:pPr>
              <w:widowControl w:val="0"/>
              <w:numPr>
                <w:ilvl w:val="0"/>
                <w:numId w:val="10"/>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Mortgage Pre-approval</w:t>
            </w:r>
          </w:p>
        </w:tc>
        <w:tc>
          <w:tcPr>
            <w:tcMar>
              <w:top w:w="140.0" w:type="dxa"/>
              <w:left w:w="140.0" w:type="dxa"/>
              <w:bottom w:w="140.0" w:type="dxa"/>
              <w:right w:w="140.0" w:type="dxa"/>
            </w:tcMar>
            <w:vAlign w:val="center"/>
          </w:tcPr>
          <w:p w:rsidR="00000000" w:rsidDel="00000000" w:rsidP="00000000" w:rsidRDefault="00000000" w:rsidRPr="00000000" w14:paraId="00000020">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A strong mortgage broker will confirm your income, debt load, and lifestyle preferences. They will then give you a rate hold and budget for your next home.</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1">
            <w:pPr>
              <w:widowControl w:val="0"/>
              <w:numPr>
                <w:ilvl w:val="0"/>
                <w:numId w:val="4"/>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Search Criteria Established</w:t>
            </w:r>
          </w:p>
        </w:tc>
        <w:tc>
          <w:tcPr>
            <w:tcMar>
              <w:top w:w="140.0" w:type="dxa"/>
              <w:left w:w="140.0" w:type="dxa"/>
              <w:bottom w:w="140.0" w:type="dxa"/>
              <w:right w:w="140.0" w:type="dxa"/>
            </w:tcMar>
            <w:vAlign w:val="center"/>
          </w:tcPr>
          <w:p w:rsidR="00000000" w:rsidDel="00000000" w:rsidP="00000000" w:rsidRDefault="00000000" w:rsidRPr="00000000" w14:paraId="00000022">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Based on your budget and wish list, we’ll create a targeted search for homes. A feedback system to favorite, reject or label homes as possible will be created. You will need to select your favorites for house hunting trips. Save search criteria in RLP Sphere</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3">
            <w:pPr>
              <w:widowControl w:val="0"/>
              <w:numPr>
                <w:ilvl w:val="0"/>
                <w:numId w:val="11"/>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House Hunting Trips</w:t>
            </w:r>
          </w:p>
        </w:tc>
        <w:tc>
          <w:tcPr>
            <w:tcMar>
              <w:top w:w="140.0" w:type="dxa"/>
              <w:left w:w="140.0" w:type="dxa"/>
              <w:bottom w:w="140.0" w:type="dxa"/>
              <w:right w:w="140.0" w:type="dxa"/>
            </w:tcMar>
            <w:vAlign w:val="center"/>
          </w:tcPr>
          <w:p w:rsidR="00000000" w:rsidDel="00000000" w:rsidP="00000000" w:rsidRDefault="00000000" w:rsidRPr="00000000" w14:paraId="00000024">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We select your favorite matched properties and tour them 3 - 6 at a time. Our goal is to find a top home you feel good about.</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5">
            <w:pPr>
              <w:widowControl w:val="0"/>
              <w:numPr>
                <w:ilvl w:val="0"/>
                <w:numId w:val="7"/>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First Priority House is Found</w:t>
            </w:r>
          </w:p>
        </w:tc>
        <w:tc>
          <w:tcPr>
            <w:tcMar>
              <w:top w:w="140.0" w:type="dxa"/>
              <w:left w:w="140.0" w:type="dxa"/>
              <w:bottom w:w="140.0" w:type="dxa"/>
              <w:right w:w="140.0" w:type="dxa"/>
            </w:tcMar>
            <w:vAlign w:val="center"/>
          </w:tcPr>
          <w:p w:rsidR="00000000" w:rsidDel="00000000" w:rsidP="00000000" w:rsidRDefault="00000000" w:rsidRPr="00000000" w14:paraId="00000026">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When we find the right home, we’ll prioritize it as a potential property to prepare an offer on, we’ll ask questions to confirm it is the right place.</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7">
            <w:pPr>
              <w:widowControl w:val="0"/>
              <w:numPr>
                <w:ilvl w:val="0"/>
                <w:numId w:val="2"/>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Market Evaluation Completed</w:t>
            </w:r>
          </w:p>
        </w:tc>
        <w:tc>
          <w:tcPr>
            <w:tcMar>
              <w:top w:w="140.0" w:type="dxa"/>
              <w:left w:w="140.0" w:type="dxa"/>
              <w:bottom w:w="140.0" w:type="dxa"/>
              <w:right w:w="140.0" w:type="dxa"/>
            </w:tcMar>
            <w:vAlign w:val="center"/>
          </w:tcPr>
          <w:p w:rsidR="00000000" w:rsidDel="00000000" w:rsidP="00000000" w:rsidRDefault="00000000" w:rsidRPr="00000000" w14:paraId="00000028">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We’ll review information about the property, consider recent comparable sales, and come up with a negotiation strategy.</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9">
            <w:pPr>
              <w:widowControl w:val="0"/>
              <w:numPr>
                <w:ilvl w:val="0"/>
                <w:numId w:val="9"/>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Offer Drafted</w:t>
            </w:r>
          </w:p>
        </w:tc>
        <w:tc>
          <w:tcPr>
            <w:tcMar>
              <w:top w:w="140.0" w:type="dxa"/>
              <w:left w:w="140.0" w:type="dxa"/>
              <w:bottom w:w="140.0" w:type="dxa"/>
              <w:right w:w="140.0" w:type="dxa"/>
            </w:tcMar>
            <w:vAlign w:val="center"/>
          </w:tcPr>
          <w:p w:rsidR="00000000" w:rsidDel="00000000" w:rsidP="00000000" w:rsidRDefault="00000000" w:rsidRPr="00000000" w14:paraId="0000002A">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This is where the paperwork to create a legally binding contract to secure the property is drafted. Details like purchase price, possession date, deposit amount, goods included, conditions, and any special terms that may be required are confirmed. Offers normally require an appropriate deposit, be prepared to cut a cheque or send an eft.</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B">
            <w:pPr>
              <w:widowControl w:val="0"/>
              <w:numPr>
                <w:ilvl w:val="0"/>
                <w:numId w:val="8"/>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Offer Accepted</w:t>
            </w:r>
          </w:p>
        </w:tc>
        <w:tc>
          <w:tcPr>
            <w:tcMar>
              <w:top w:w="140.0" w:type="dxa"/>
              <w:left w:w="140.0" w:type="dxa"/>
              <w:bottom w:w="140.0" w:type="dxa"/>
              <w:right w:w="140.0" w:type="dxa"/>
            </w:tcMar>
            <w:vAlign w:val="center"/>
          </w:tcPr>
          <w:p w:rsidR="00000000" w:rsidDel="00000000" w:rsidP="00000000" w:rsidRDefault="00000000" w:rsidRPr="00000000" w14:paraId="0000002C">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A legally binding contract is accepted by both the buyer and seller. We’ll forward this to you, your lawyer, and mortgage broker.</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D">
            <w:pPr>
              <w:widowControl w:val="0"/>
              <w:numPr>
                <w:ilvl w:val="0"/>
                <w:numId w:val="6"/>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Conditions reviewed and diligence completed</w:t>
            </w:r>
          </w:p>
        </w:tc>
        <w:tc>
          <w:tcPr>
            <w:tcMar>
              <w:top w:w="140.0" w:type="dxa"/>
              <w:left w:w="140.0" w:type="dxa"/>
              <w:bottom w:w="140.0" w:type="dxa"/>
              <w:right w:w="140.0" w:type="dxa"/>
            </w:tcMar>
            <w:vAlign w:val="center"/>
          </w:tcPr>
          <w:p w:rsidR="00000000" w:rsidDel="00000000" w:rsidP="00000000" w:rsidRDefault="00000000" w:rsidRPr="00000000" w14:paraId="0000002E">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Once there is an accepted offer, we need to ensure you are comfortable moving forward with the purchase. The purchase documents will be sent to your financial institution for approval if you have a financing condition. If a home inspection is required, we’ll help line up a time with the seller, you and the inspector. If Condominium documents are to be reviewed, we’ll organize a collection of the documents and get them to you and your condominium review company. If you need to sell your home, we’ll work towards getting it on the market right away. If there are any other conditions that need to be met, we’ll help facilitate the jobs that need to be done.</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2F">
            <w:pPr>
              <w:widowControl w:val="0"/>
              <w:numPr>
                <w:ilvl w:val="0"/>
                <w:numId w:val="12"/>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Condition Removal</w:t>
            </w:r>
          </w:p>
        </w:tc>
        <w:tc>
          <w:tcPr>
            <w:tcMar>
              <w:top w:w="140.0" w:type="dxa"/>
              <w:left w:w="140.0" w:type="dxa"/>
              <w:bottom w:w="140.0" w:type="dxa"/>
              <w:right w:w="140.0" w:type="dxa"/>
            </w:tcMar>
            <w:vAlign w:val="center"/>
          </w:tcPr>
          <w:p w:rsidR="00000000" w:rsidDel="00000000" w:rsidP="00000000" w:rsidRDefault="00000000" w:rsidRPr="00000000" w14:paraId="00000030">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Once your conditions have been satisfied, conditions need to be waived; this is done formally through a waiver. Prior to possession home insurance and utility hook ups need to be organized.</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31">
            <w:pPr>
              <w:widowControl w:val="0"/>
              <w:numPr>
                <w:ilvl w:val="0"/>
                <w:numId w:val="1"/>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Lawyer Meeting</w:t>
            </w:r>
          </w:p>
        </w:tc>
        <w:tc>
          <w:tcPr>
            <w:tcMar>
              <w:top w:w="140.0" w:type="dxa"/>
              <w:left w:w="140.0" w:type="dxa"/>
              <w:bottom w:w="140.0" w:type="dxa"/>
              <w:right w:w="140.0" w:type="dxa"/>
            </w:tcMar>
            <w:vAlign w:val="center"/>
          </w:tcPr>
          <w:p w:rsidR="00000000" w:rsidDel="00000000" w:rsidP="00000000" w:rsidRDefault="00000000" w:rsidRPr="00000000" w14:paraId="00000032">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Your lawyer will coordinate the delivery of the balance owing, mortgage amount, and ensure you are registered on title. They will make sure the purchase contract is honoured before sending the funds to the seller's lawyer. You will need to meet with your lawyer 1-2 weeks prior to possession.</w:t>
            </w:r>
          </w:p>
        </w:tc>
      </w:tr>
      <w:tr>
        <w:trPr>
          <w:cantSplit w:val="0"/>
          <w:trHeight w:val="600" w:hRule="atLeast"/>
          <w:tblHeader w:val="0"/>
        </w:trPr>
        <w:tc>
          <w:tcPr>
            <w:tcBorders>
              <w:left w:color="9e9e9e" w:space="0" w:sz="8" w:val="single"/>
            </w:tcBorders>
            <w:tcMar>
              <w:top w:w="140.0" w:type="dxa"/>
              <w:left w:w="140.0" w:type="dxa"/>
              <w:bottom w:w="140.0" w:type="dxa"/>
              <w:right w:w="140.0" w:type="dxa"/>
            </w:tcMar>
            <w:vAlign w:val="center"/>
          </w:tcPr>
          <w:p w:rsidR="00000000" w:rsidDel="00000000" w:rsidP="00000000" w:rsidRDefault="00000000" w:rsidRPr="00000000" w14:paraId="00000033">
            <w:pPr>
              <w:widowControl w:val="0"/>
              <w:numPr>
                <w:ilvl w:val="0"/>
                <w:numId w:val="5"/>
              </w:numPr>
              <w:spacing w:line="240" w:lineRule="auto"/>
              <w:ind w:left="720" w:hanging="360"/>
              <w:rPr>
                <w:rFonts w:ascii="Barlow" w:cs="Barlow" w:eastAsia="Barlow" w:hAnsi="Barlow"/>
                <w:sz w:val="18"/>
                <w:szCs w:val="18"/>
                <w:u w:val="none"/>
                <w:shd w:fill="auto" w:val="clear"/>
              </w:rPr>
            </w:pPr>
            <w:r w:rsidDel="00000000" w:rsidR="00000000" w:rsidRPr="00000000">
              <w:rPr>
                <w:rFonts w:ascii="Barlow" w:cs="Barlow" w:eastAsia="Barlow" w:hAnsi="Barlow"/>
                <w:sz w:val="18"/>
                <w:szCs w:val="18"/>
                <w:shd w:fill="auto" w:val="clear"/>
                <w:rtl w:val="0"/>
              </w:rPr>
              <w:t xml:space="preserve">Possession Day</w:t>
            </w:r>
          </w:p>
        </w:tc>
        <w:tc>
          <w:tcPr>
            <w:tcMar>
              <w:top w:w="140.0" w:type="dxa"/>
              <w:left w:w="140.0" w:type="dxa"/>
              <w:bottom w:w="140.0" w:type="dxa"/>
              <w:right w:w="140.0" w:type="dxa"/>
            </w:tcMar>
            <w:vAlign w:val="center"/>
          </w:tcPr>
          <w:p w:rsidR="00000000" w:rsidDel="00000000" w:rsidP="00000000" w:rsidRDefault="00000000" w:rsidRPr="00000000" w14:paraId="00000034">
            <w:pPr>
              <w:widowControl w:val="0"/>
              <w:spacing w:line="240" w:lineRule="auto"/>
              <w:rPr>
                <w:rFonts w:ascii="Barlow" w:cs="Barlow" w:eastAsia="Barlow" w:hAnsi="Barlow"/>
                <w:sz w:val="18"/>
                <w:szCs w:val="18"/>
                <w:shd w:fill="auto" w:val="clear"/>
              </w:rPr>
            </w:pPr>
            <w:r w:rsidDel="00000000" w:rsidR="00000000" w:rsidRPr="00000000">
              <w:rPr>
                <w:rFonts w:ascii="Barlow" w:cs="Barlow" w:eastAsia="Barlow" w:hAnsi="Barlow"/>
                <w:sz w:val="18"/>
                <w:szCs w:val="18"/>
                <w:shd w:fill="auto" w:val="clear"/>
                <w:rtl w:val="0"/>
              </w:rPr>
              <w:t xml:space="preserve">Once the seller's lawyer confirms the terms of the purchase agreement have been met, they will authorize key release. I will pick up the keys and meet you at the property. This usually happens sometime between 12:00 noon and 4:00. </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Barlow" w:cs="Barlow" w:eastAsia="Barlow" w:hAnsi="Barlow"/>
          <w:sz w:val="20"/>
          <w:szCs w:val="20"/>
          <w:shd w:fill="auto" w:val="clear"/>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Black">
    <w:embedBold w:fontKey="{00000000-0000-0000-0000-000000000000}" r:id="rId1" w:subsetted="0"/>
    <w:embedBoldItalic w:fontKey="{00000000-0000-0000-0000-000000000000}" r:id="rId2" w:subsetted="0"/>
  </w:font>
  <w:font w:name="Barl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uni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widowControl w:val="0"/>
      <w:spacing w:line="276" w:lineRule="auto"/>
      <w:rPr>
        <w:rFonts w:ascii="Barlow" w:cs="Barlow" w:eastAsia="Barlow" w:hAnsi="Barlow"/>
        <w:i w:val="1"/>
        <w:iCs w:val="1"/>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503.64" w:type="dxa"/>
      <w:jc w:val="left"/>
      <w:tblLayout w:type="fixed"/>
      <w:tblLook w:val="0600"/>
    </w:tblPr>
    <w:tblGrid>
      <w:gridCol w:w="2528.64"/>
      <w:gridCol w:w="6975"/>
      <w:tblGridChange w:id="0">
        <w:tblGrid>
          <w:gridCol w:w="2528.64"/>
          <w:gridCol w:w="6975"/>
        </w:tblGrid>
      </w:tblGridChange>
    </w:tblGrid>
    <w:tr>
      <w:trPr>
        <w:cantSplit w:val="0"/>
        <w:trHeight w:val="535.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Pr>
            <w:drawing>
              <wp:inline distB="114300" distT="114300" distL="114300" distR="114300">
                <wp:extent cx="1476375" cy="2540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76375" cy="25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right"/>
            <w:rPr>
              <w:rFonts w:ascii="Barlow" w:cs="Barlow" w:eastAsia="Barlow" w:hAnsi="Barlow"/>
              <w:sz w:val="20"/>
              <w:szCs w:val="20"/>
              <w:shd w:fill="auto" w:val="clear"/>
            </w:rPr>
          </w:pPr>
          <w:r w:rsidDel="00000000" w:rsidR="00000000" w:rsidRPr="00000000">
            <w:rPr>
              <w:rFonts w:ascii="Barlow" w:cs="Barlow" w:eastAsia="Barlow" w:hAnsi="Barlow"/>
              <w:sz w:val="20"/>
              <w:szCs w:val="20"/>
              <w:shd w:fill="auto" w:val="clear"/>
              <w:rtl w:val="0"/>
            </w:rPr>
            <w:t xml:space="preserve">BuyerChecklist</w:t>
            <w:br w:type="textWrapping"/>
            <w:t xml:space="preserve"> April 2024 | Page </w:t>
          </w:r>
          <w:r w:rsidDel="00000000" w:rsidR="00000000" w:rsidRPr="00000000">
            <w:rPr>
              <w:rFonts w:ascii="Barlow" w:cs="Barlow" w:eastAsia="Barlow" w:hAnsi="Barlow"/>
              <w:sz w:val="20"/>
              <w:szCs w:val="20"/>
              <w:shd w:fill="auto" w:val="clear"/>
            </w:rPr>
            <w:fldChar w:fldCharType="begin"/>
            <w:instrText xml:space="preserve">PAGE</w:instrText>
            <w:fldChar w:fldCharType="separate"/>
            <w:fldChar w:fldCharType="end"/>
          </w:r>
          <w:r w:rsidDel="00000000" w:rsidR="00000000" w:rsidRPr="00000000">
            <w:rPr>
              <w:rFonts w:ascii="Barlow" w:cs="Barlow" w:eastAsia="Barlow" w:hAnsi="Barlow"/>
              <w:sz w:val="20"/>
              <w:szCs w:val="20"/>
              <w:shd w:fill="auto" w:val="clear"/>
              <w:rtl w:val="0"/>
            </w:rPr>
            <w:t xml:space="preserve"> of </w:t>
          </w:r>
          <w:r w:rsidDel="00000000" w:rsidR="00000000" w:rsidRPr="00000000">
            <w:rPr>
              <w:rFonts w:ascii="Barlow" w:cs="Barlow" w:eastAsia="Barlow" w:hAnsi="Barlow"/>
              <w:sz w:val="20"/>
              <w:szCs w:val="20"/>
              <w:shd w:fill="auto" w:val="clear"/>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9">
    <w:pPr>
      <w:widowControl w:val="0"/>
      <w:spacing w:line="276" w:lineRule="auto"/>
      <w:jc w:val="left"/>
      <w:rPr>
        <w:rFonts w:ascii="Barlow" w:cs="Barlow" w:eastAsia="Barlow" w:hAnsi="Barlow"/>
        <w:sz w:val="20"/>
        <w:szCs w:val="20"/>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708660</wp:posOffset>
          </wp:positionV>
          <wp:extent cx="1858578" cy="1585913"/>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58578" cy="158591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sz w:val="48"/>
        <w:szCs w:val="48"/>
      </w:rPr>
    </w:pPr>
    <w:r w:rsidDel="00000000" w:rsidR="00000000" w:rsidRPr="00000000">
      <w:rPr>
        <w:sz w:val="48"/>
        <w:szCs w:val="48"/>
        <w:rtl w:val="0"/>
      </w:rPr>
      <w:t xml:space="preserve">Buyer Checklist</w:t>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19051</wp:posOffset>
          </wp:positionV>
          <wp:extent cx="1371600" cy="112471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1124712"/>
                  </a:xfrm>
                  <a:prstGeom prst="rect"/>
                  <a:ln/>
                </pic:spPr>
              </pic:pic>
            </a:graphicData>
          </a:graphic>
        </wp:anchor>
      </w:drawing>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Sans" w:cs="Nunito Sans" w:eastAsia="Nunito Sans" w:hAnsi="Nunito Sans"/>
        <w:sz w:val="24"/>
        <w:szCs w:val="24"/>
        <w:highlight w:val="white"/>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Nunito Sans Black" w:cs="Nunito Sans Black" w:eastAsia="Nunito Sans Black" w:hAnsi="Nunito Sans Black"/>
      <w:sz w:val="44"/>
      <w:szCs w:val="44"/>
    </w:rPr>
  </w:style>
  <w:style w:type="paragraph" w:styleId="Heading2">
    <w:name w:val="heading 2"/>
    <w:basedOn w:val="Normal"/>
    <w:next w:val="Normal"/>
    <w:pPr>
      <w:keepNext w:val="1"/>
      <w:keepLines w:val="1"/>
      <w:spacing w:after="120" w:before="360" w:lineRule="auto"/>
    </w:pPr>
    <w:rPr>
      <w:rFonts w:ascii="Nunito Sans Black" w:cs="Nunito Sans Black" w:eastAsia="Nunito Sans Black" w:hAnsi="Nunito Sans Black"/>
      <w:sz w:val="36"/>
      <w:szCs w:val="36"/>
    </w:rPr>
  </w:style>
  <w:style w:type="paragraph" w:styleId="Heading3">
    <w:name w:val="heading 3"/>
    <w:basedOn w:val="Normal"/>
    <w:next w:val="Normal"/>
    <w:pPr>
      <w:keepNext w:val="1"/>
      <w:keepLines w:val="1"/>
      <w:spacing w:before="320" w:lineRule="auto"/>
    </w:pPr>
    <w:rPr>
      <w:rFonts w:ascii="Nunito Sans Black" w:cs="Nunito Sans Black" w:eastAsia="Nunito Sans Black" w:hAnsi="Nunito Sans Black"/>
      <w:sz w:val="32"/>
      <w:szCs w:val="32"/>
    </w:rPr>
  </w:style>
  <w:style w:type="paragraph" w:styleId="Heading4">
    <w:name w:val="heading 4"/>
    <w:basedOn w:val="Normal"/>
    <w:next w:val="Normal"/>
    <w:pPr>
      <w:keepNext w:val="1"/>
      <w:keepLines w:val="1"/>
      <w:spacing w:before="280" w:lineRule="auto"/>
    </w:pPr>
    <w:rPr>
      <w:rFonts w:ascii="Nunito Sans Black" w:cs="Nunito Sans Black" w:eastAsia="Nunito Sans Black" w:hAnsi="Nunito Sans Black"/>
      <w:color w:val="1c5379"/>
      <w:sz w:val="28"/>
      <w:szCs w:val="28"/>
    </w:rPr>
  </w:style>
  <w:style w:type="paragraph" w:styleId="Heading5">
    <w:name w:val="heading 5"/>
    <w:basedOn w:val="Normal"/>
    <w:next w:val="Normal"/>
    <w:pPr>
      <w:keepNext w:val="1"/>
      <w:keepLines w:val="1"/>
      <w:spacing w:before="240" w:lineRule="auto"/>
    </w:pPr>
    <w:rPr>
      <w:rFonts w:ascii="Nunito Sans Black" w:cs="Nunito Sans Black" w:eastAsia="Nunito Sans Black" w:hAnsi="Nunito Sans Black"/>
      <w:color w:val="d7282e"/>
    </w:rPr>
  </w:style>
  <w:style w:type="paragraph" w:styleId="Heading6">
    <w:name w:val="heading 6"/>
    <w:basedOn w:val="Normal"/>
    <w:next w:val="Normal"/>
    <w:pPr>
      <w:keepNext w:val="1"/>
      <w:keepLines w:val="1"/>
      <w:spacing w:before="240" w:lineRule="auto"/>
    </w:pPr>
    <w:rPr>
      <w:rFonts w:ascii="Nunito Sans Black" w:cs="Nunito Sans Black" w:eastAsia="Nunito Sans Black" w:hAnsi="Nunito Sans Black"/>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lineRule="auto"/>
      <w:ind w:left="720" w:firstLine="0"/>
    </w:pPr>
    <w:rPr>
      <w:i w:val="1"/>
      <w:iCs w:val="1"/>
      <w:color w:val="666666"/>
      <w:sz w:val="32"/>
      <w:szCs w:val="32"/>
    </w:rPr>
  </w:style>
  <w:style w:type="table" w:styleId="Table1">
    <w:basedOn w:val="TableNormal"/>
    <w:tblPr>
      <w:tblStyleRowBandSize w:val="1"/>
      <w:tblStyleColBandSize w:val="1"/>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presentation/d/1nlCuJZ9z2fiw12y5fRX0PvV41qyG5kii63tClecoUlM/edit?usp=sharin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SansBlack-bold.ttf"/><Relationship Id="rId2" Type="http://schemas.openxmlformats.org/officeDocument/2006/relationships/font" Target="fonts/NunitoSansBlack-boldItalic.ttf"/><Relationship Id="rId3" Type="http://schemas.openxmlformats.org/officeDocument/2006/relationships/font" Target="fonts/Barlow-regular.ttf"/><Relationship Id="rId4" Type="http://schemas.openxmlformats.org/officeDocument/2006/relationships/font" Target="fonts/Barlow-bold.ttf"/><Relationship Id="rId10" Type="http://schemas.openxmlformats.org/officeDocument/2006/relationships/font" Target="fonts/NunitoSans-boldItalic.ttf"/><Relationship Id="rId9" Type="http://schemas.openxmlformats.org/officeDocument/2006/relationships/font" Target="fonts/NunitoSans-italic.ttf"/><Relationship Id="rId5" Type="http://schemas.openxmlformats.org/officeDocument/2006/relationships/font" Target="fonts/Barlow-italic.ttf"/><Relationship Id="rId6" Type="http://schemas.openxmlformats.org/officeDocument/2006/relationships/font" Target="fonts/Barlow-boldItalic.ttf"/><Relationship Id="rId7" Type="http://schemas.openxmlformats.org/officeDocument/2006/relationships/font" Target="fonts/NunitoSans-regular.ttf"/><Relationship Id="rId8" Type="http://schemas.openxmlformats.org/officeDocument/2006/relationships/font" Target="fonts/Nuni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