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Times New Roman" w:hAnsi="Times New Roman" w:eastAsia="Times New Roman"/>
          <w:b/>
          <w:i w:val="0"/>
          <w:color w:val="003366"/>
          <w:sz w:val="32"/>
        </w:rPr>
        <w:t>СПРАВОЧНАЯ ДОКУМЕНТАЦИЯ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Работа со справочниками процесса</w:t>
        <w:br/>
        <w:t>«Управление изменениями»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1С:ITILIUM (Итилиум Проф 1.0)</w:t>
      </w:r>
    </w:p>
    <w:p/>
    <w:p/>
    <w:p/>
    <w:p/>
    <w:p/>
    <w:p/>
    <w:p/>
    <w:p/>
    <w:p>
      <w:pPr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pStyle w:val="Heading1"/>
        <w:jc w:val="center"/>
      </w:pPr>
      <w:r>
        <w:t>Оглавление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Times New Roman"/>
          <w:b w:val="0"/>
          <w:i/>
          <w:color w:val="787878"/>
          <w:sz w:val="24"/>
        </w:rPr>
        <w:t>Обновите оглавление: правый клик → «Обновить поле»</w:t>
      </w:r>
      <w:r>
        <w:fldChar w:fldCharType="end"/>
      </w:r>
    </w:p>
    <w:p>
      <w:r>
        <w:br w:type="page"/>
      </w:r>
    </w:p>
    <w:p>
      <w:pPr>
        <w:pStyle w:val="Heading1"/>
      </w:pPr>
      <w:r>
        <w:t>1. Введение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Настоящий документ содержит справочную информацию по работе со справочниками подсистемы «Управление изменениями» в системе 1С:ITILIUM (Итилиум Проф). Материал основан на официальном руководстве пользователя разработчика «Деснол».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Процесс управления изменениями предназначен для обработки изменений ИТ-услуг и информационных систем: их анализа, оценки, согласования, контроля реализации и обеспечения согласованного уровня качества услуг.</w:t>
      </w:r>
    </w:p>
    <w:p>
      <w:pPr>
        <w:pStyle w:val="Heading1"/>
      </w:pPr>
      <w:r>
        <w:t>2. Расположение раздела в системе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Путь в системе: главное меню → «Управление изменениями».</w:t>
      </w:r>
    </w:p>
    <w:p>
      <w:pPr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В данном разделе находятся: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справочники процесса изменений;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документ «Изменение»;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задачи согласования;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отчёты.</w:t>
      </w:r>
    </w:p>
    <w:p>
      <w:pPr>
        <w:ind w:firstLine="0"/>
      </w:pPr>
      <w:r>
        <w:rPr>
          <w:rFonts w:ascii="Times New Roman" w:hAnsi="Times New Roman" w:eastAsia="Times New Roman"/>
          <w:b/>
          <w:i w:val="0"/>
          <w:sz w:val="28"/>
        </w:rPr>
        <w:t>Объекты панели навигации: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Объект</w:t>
            </w:r>
          </w:p>
        </w:tc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Ссылка в навигации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 «Типы изменений»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Типы изменений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 «Состояния изменений»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Состояния изменений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 «Комитеты по изменениям»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Комитеты по изменениям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 «Коды закрытия изменений»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Коды закрытия изменений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Документ «Изменение»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Задачи согласования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Все согласования изменений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 «Реестр изменений»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Все отчеты → Реестр изменений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 «Задачи для утверждения»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Все отчеты → Задачи для утверждения</w:t>
            </w:r>
          </w:p>
        </w:tc>
      </w:tr>
    </w:tbl>
    <w:p/>
    <w:p>
      <w:pPr>
        <w:pStyle w:val="Heading1"/>
      </w:pPr>
      <w:r>
        <w:t>3. Порядок первоначальной настройки справочников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Перед началом работы с документами «Изменение» справочники рекомендуется заполнять в следующем порядке: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1. Коды закрытия изменений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2. Состояния изменений (с настройкой матрицы переходов)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3. Комитеты по изменениям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4. Типы изменений (с привязкой комитетов)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5. Общие справочники: Категории документов, Приоритеты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Такой порядок обусловлен зависимостями: тип изменения ссылается на комитеты; комитеты — на состояния; состояния — на коды закрытия.</w:t>
      </w:r>
    </w:p>
    <w:p>
      <w:pPr>
        <w:pStyle w:val="Heading1"/>
      </w:pPr>
      <w:r>
        <w:t>4. Справочник «Типы изменений»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Справочник предназначен для хранения типов документа «Изменение», которые детализируют сведения о срочности и критичности изменения и влияют на процесс его обработки.</w:t>
      </w:r>
    </w:p>
    <w:p>
      <w:pPr>
        <w:pStyle w:val="Heading2"/>
      </w:pPr>
      <w:r>
        <w:t>4.1. Реквизиты элемента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Поле</w:t>
            </w:r>
          </w:p>
        </w:tc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Описание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Системный код типа изменения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типа (например: «Стандартное», «Срочное»)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Комментарий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Дополнительное текстовое описание</w:t>
            </w:r>
          </w:p>
        </w:tc>
      </w:tr>
    </w:tbl>
    <w:p/>
    <w:p>
      <w:pPr>
        <w:pStyle w:val="Heading2"/>
      </w:pPr>
      <w:r>
        <w:t>4.2. Табличная часть «Согласующие комитеты»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Содержит список комитетов из справочника «Комитеты по изменениям», которые согласуют изменения данного типа.</w:t>
      </w:r>
    </w:p>
    <w:p>
      <w:pPr>
        <w:ind w:firstLine="0"/>
      </w:pPr>
      <w:r>
        <w:rPr>
          <w:rFonts w:ascii="Times New Roman" w:hAnsi="Times New Roman" w:eastAsia="Times New Roman"/>
          <w:b/>
          <w:i w:val="0"/>
          <w:sz w:val="28"/>
        </w:rPr>
        <w:t>Пример настройки: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Тип изменения</w:t>
            </w:r>
          </w:p>
        </w:tc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Комитеты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Стандартное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CAB — общий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Срочное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CAB — общий + CAB — инфраструктура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Экстренное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CAB — экстренный</w:t>
            </w:r>
          </w:p>
        </w:tc>
      </w:tr>
    </w:tbl>
    <w:p/>
    <w:p>
      <w:r>
        <w:rPr>
          <w:rFonts w:ascii="Times New Roman" w:hAnsi="Times New Roman" w:eastAsia="Times New Roman"/>
          <w:b w:val="0"/>
          <w:i w:val="0"/>
          <w:sz w:val="24"/>
        </w:rPr>
        <w:t>Используется в поле «Тип» документа «Изменение».</w:t>
      </w:r>
    </w:p>
    <w:p>
      <w:pPr>
        <w:pStyle w:val="Heading1"/>
      </w:pPr>
      <w:r>
        <w:t>5. Справочник «Состояния изменений»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Справочник содержит перечень состояний документа «Изменение» и правила последовательности смены этих состояний (жизненный цикл изменения).</w:t>
      </w:r>
    </w:p>
    <w:p>
      <w:pPr>
        <w:pStyle w:val="Heading2"/>
      </w:pPr>
      <w:r>
        <w:t>5.1. Реквизиты элемента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Поле</w:t>
            </w:r>
          </w:p>
        </w:tc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Описание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Код состояния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состояния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Комментарий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Пояснение к состоянию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Отправлять уведомление пользователю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 переходе отправляется email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Требует согласования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Перевод в состояние запускает согласование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закрытия изменения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Фиксируется время закрытия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Шаблон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Шаблон письма из справочника «Шаблоны сообщений»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Сделать поле «Код закрытия» обязательным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Код закрытия обязателен в этом состоянии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Код закрытия по умолчанию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Автоподстановка из «Коды закрытия изменений»</w:t>
            </w:r>
          </w:p>
        </w:tc>
      </w:tr>
    </w:tbl>
    <w:p/>
    <w:p>
      <w:pPr>
        <w:pStyle w:val="Heading2"/>
      </w:pPr>
      <w:r>
        <w:t>5.2. Вкладка «Правила перехода»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На вкладке формируется матрица переходов между состояниями: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выбрать роль (начать с «По умолчанию»);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строка — текущее состояние, столбец — целевое;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флаг в ячейке — переход разрешён;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двойной щелчок справа от флага — состояние по умолчанию (зелёная строка).</w:t>
      </w:r>
    </w:p>
    <w:p>
      <w:pPr>
        <w:ind w:firstLine="0"/>
      </w:pPr>
      <w:r>
        <w:rPr>
          <w:rFonts w:ascii="Times New Roman" w:hAnsi="Times New Roman" w:eastAsia="Times New Roman"/>
          <w:b/>
          <w:i w:val="0"/>
          <w:sz w:val="28"/>
        </w:rPr>
        <w:t>Типовая цепочка состояний: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Новое → На согласовании → Утверждено → В работе → Закрыто</w:t>
        <w:br/>
        <w:t xml:space="preserve">                              ↓</w:t>
        <w:br/>
        <w:t xml:space="preserve">                          Отклонено</w:t>
      </w:r>
    </w:p>
    <w:p>
      <w:pPr>
        <w:pStyle w:val="Heading1"/>
      </w:pPr>
      <w:r>
        <w:t>6. Справочник «Комитеты по изменениям»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Иерархический справочник комитетов по согласованию изменений (CAB — Change Advisory Board) с многоуровневым согласованием.</w:t>
      </w:r>
    </w:p>
    <w:p>
      <w:pPr>
        <w:pStyle w:val="Heading2"/>
      </w:pPr>
      <w:r>
        <w:t>6.1. Реквизиты элемента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Поле</w:t>
            </w:r>
          </w:p>
        </w:tc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Описание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Код комитета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комитета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Срок согласования задачи (дней)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Автосогласование по истечении срока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Клиент из справочника «Клиенты»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Время работы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График из «Время оказания услуги»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Если согласовано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Состояние при положительном решении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Если согласовано с замечаниями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Состояние при согласовании с замечаниями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Если отклонено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Состояние при отклонении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Статус при автоматическом закрытии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Состояние при автосогласовании</w:t>
            </w:r>
          </w:p>
        </w:tc>
      </w:tr>
    </w:tbl>
    <w:p/>
    <w:p>
      <w:pPr>
        <w:pStyle w:val="Heading2"/>
      </w:pPr>
      <w:r>
        <w:t>6.2. Согласующие лица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«Добавить уровень» — последовательные этапы согласования;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«Добавить физ. лицо» — согласующие на каждом уровне;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«Замещающие лица» — лица, имеющие право согласовать вместо основного.</w:t>
      </w:r>
    </w:p>
    <w:p>
      <w:pPr>
        <w:pStyle w:val="Heading1"/>
      </w:pPr>
      <w:r>
        <w:t>7. Справочник «Коды закрытия изменений»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Справочник хранит коды закрытия для аналитики результатов работы над изменением.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Поле</w:t>
            </w:r>
          </w:p>
        </w:tc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Описание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Код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Системный код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Отображаемое название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Подробное описание</w:t>
            </w:r>
          </w:p>
        </w:tc>
      </w:tr>
    </w:tbl>
    <w:p/>
    <w:p>
      <w:pPr>
        <w:ind w:firstLine="0"/>
      </w:pPr>
      <w:r>
        <w:rPr>
          <w:rFonts w:ascii="Times New Roman" w:hAnsi="Times New Roman" w:eastAsia="Times New Roman"/>
          <w:b/>
          <w:i w:val="0"/>
          <w:sz w:val="28"/>
        </w:rPr>
        <w:t>Примеры значений: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Код</w:t>
            </w:r>
          </w:p>
        </w:tc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Наименование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001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Закрыто успешно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002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Закрыто с отклонением от плана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003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Отменено инициатором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004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Закрыто по истечении срока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005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Не реализовано — нет ресурсов</w:t>
            </w:r>
          </w:p>
        </w:tc>
      </w:tr>
    </w:tbl>
    <w:p/>
    <w:p>
      <w:pPr>
        <w:pStyle w:val="Heading1"/>
      </w:pPr>
      <w:r>
        <w:t>8. Связанные общие справочники</w:t>
      </w:r>
    </w:p>
    <w:p>
      <w:pPr>
        <w:pStyle w:val="Heading2"/>
      </w:pPr>
      <w:r>
        <w:t>8.1. Категории документов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Путь: раздел «Управление изменениями» → Категории документов. Используется для уточняющей аналитики (например: «простое», «среднее», «большое»). Справочник многоуровневый.</w:t>
      </w:r>
    </w:p>
    <w:p>
      <w:pPr>
        <w:pStyle w:val="Heading2"/>
      </w:pPr>
      <w:r>
        <w:t>8.2. Приоритеты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Путь: «Функции для технического специалиста» → Приоритеты. Определяет порядок обработки. Рекомендуется префикс: 1_Высокий, 2_Средний, 3_Низкий.</w:t>
      </w:r>
    </w:p>
    <w:p>
      <w:pPr>
        <w:pStyle w:val="Heading1"/>
      </w:pPr>
      <w:r>
        <w:t>9. Документ «Изменение»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Основной объект учёта процесса. Отвечает за процедуру внесения изменений в конфигурационную базу данных, оборудование, ПО, документацию и ИТ-сервисы.</w:t>
      </w:r>
    </w:p>
    <w:p>
      <w:pPr>
        <w:pStyle w:val="Heading2"/>
      </w:pPr>
      <w:r>
        <w:t>9.1. Основные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Поле</w:t>
            </w:r>
          </w:p>
        </w:tc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Источник / описание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Номер, Дата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Системные реквизиты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 «Клиенты»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Инициатор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Сотрудник, инициировавший изменение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Текстовое описание изменения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 «Типы изменений»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Категория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 «Категории документов»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Приоритет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 «Приоритеты»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 «Состояния изменений»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Код закрытия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 «Коды закрытия изменений»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Ответственный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«Сотрудники» или «Рабочие группы»</w:t>
            </w:r>
          </w:p>
        </w:tc>
      </w:tr>
    </w:tbl>
    <w:p/>
    <w:p>
      <w:pPr>
        <w:pStyle w:val="Heading2"/>
      </w:pPr>
      <w:r>
        <w:t>9.2. Вкладки документа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Вкладка</w:t>
            </w:r>
          </w:p>
        </w:tc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Содержание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Общее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Главный документ, КЕ, решение, дополнительные поля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Обращения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Связанные обращения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Работы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Наряды по изменению, последовательность работ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Связи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Связанные документы, статьи БЗ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Файлы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Прикреплённые файлы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Согласование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Задачи и цепочка согласования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История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История смены состояний и ответственных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Уведомления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Отправленные уведомления</w:t>
            </w:r>
          </w:p>
        </w:tc>
      </w:tr>
    </w:tbl>
    <w:p/>
    <w:p>
      <w:pPr>
        <w:pStyle w:val="Heading1"/>
      </w:pPr>
      <w:r>
        <w:t>10. Задача «Согласование изменений»</w:t>
      </w:r>
    </w:p>
    <w:p>
      <w:r>
        <w:rPr>
          <w:rFonts w:ascii="Times New Roman" w:hAnsi="Times New Roman" w:eastAsia="Times New Roman"/>
          <w:b w:val="0"/>
          <w:i w:val="0"/>
          <w:sz w:val="28"/>
        </w:rPr>
        <w:t>Задачи формируются автоматически при начале согласования. Доступны по ссылке «Все согласования изменений».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Кнопка</w:t>
            </w:r>
          </w:p>
        </w:tc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Действие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Утвердить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Согласование без замечаний → следующий уровень или состояние «Если согласовано»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Утвердить с замечаниями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Согласование с замечаниями → состояние «Если согласовано с замечаниями»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Отклонить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Отклонение → состояние «Если отклонено»</w:t>
            </w:r>
          </w:p>
        </w:tc>
      </w:tr>
    </w:tbl>
    <w:p/>
    <w:p>
      <w:pPr>
        <w:pStyle w:val="Heading1"/>
      </w:pPr>
      <w:r>
        <w:t>11. Схема связей справочников</w:t>
      </w:r>
    </w:p>
    <w:p>
      <w:pPr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Документ «Изменение» использует: Типы изменений, Категории документов, Приоритеты, Состояния изменений, Коды закрытия. При согласовании задействуется справочник «Комитеты по изменениям», который формирует задачи «Согласование изменений».</w:t>
      </w:r>
    </w:p>
    <w:p>
      <w:pPr>
        <w:pStyle w:val="Heading1"/>
      </w:pPr>
      <w:r>
        <w:t>12. Практический сценарий настройки с нуля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Шаг 1: Создать коды закрытия: Успешно, С замечаниями, Отменено, Не выполнено.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Шаг 2: Создать состояния и настроить матрицу переходов. «Новое» — по умолчанию.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Шаг 3: Создать комитеты CAB с уровнями согласования и результатами.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Шаг 4: Создать типы изменений и привязать комитеты.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Шаг 5: Заполнить категории и приоритеты для изменений.</w:t>
      </w:r>
    </w:p>
    <w:p>
      <w:pPr>
        <w:pStyle w:val="ListBullet"/>
        <w:ind w:firstLine="0" w:left="709"/>
      </w:pPr>
      <w:r>
        <w:rPr>
          <w:rFonts w:ascii="Times New Roman" w:hAnsi="Times New Roman" w:eastAsia="Times New Roman"/>
          <w:b w:val="0"/>
          <w:i w:val="0"/>
          <w:sz w:val="28"/>
        </w:rPr>
        <w:t>Шаг 6: Создать тестовое изменение и пройти полный цикл до закрытия.</w:t>
      </w:r>
    </w:p>
    <w:p>
      <w:pPr>
        <w:pStyle w:val="Heading1"/>
      </w:pPr>
      <w:r>
        <w:t>13. Роли для работы со справочниками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Роль</w:t>
            </w:r>
          </w:p>
        </w:tc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Доступ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Настройка системы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Все справочники изменений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Настройка согласования изменений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Комитеты, типы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Полные права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Полный доступ, все задачи согласования</w:t>
            </w:r>
          </w:p>
        </w:tc>
      </w:tr>
    </w:tbl>
    <w:p/>
    <w:p>
      <w:pPr>
        <w:pStyle w:val="Heading1"/>
      </w:pPr>
      <w:r>
        <w:t>14. Полезные ссылки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Раздел</w:t>
            </w:r>
          </w:p>
        </w:tc>
        <w:tc>
          <w:tcPr>
            <w:tcW w:type="dxa" w:w="4844"/>
            <w:shd w:fill="003366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24"/>
              </w:rPr>
              <w:t>URL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Управление изменениями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https://1c-itilium.ru/manual/user/change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Общие справочники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https://1c-itilium.ru/manual/user/functions/directory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Матрица переходов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https://1c-itilium.ru/manual/user/functions/matrix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Правила обработки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https://1c-itilium.ru/manual/user/functions/processing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Руководство на ИТС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https://its.1c.ru/db/itilium/content/223/hdoc</w:t>
            </w:r>
          </w:p>
        </w:tc>
      </w:tr>
    </w:tbl>
    <w:p/>
    <w:p/>
    <w:p>
      <w:pPr>
        <w:ind w:firstLine="0"/>
      </w:pPr>
      <w:r>
        <w:rPr>
          <w:rFonts w:ascii="Times New Roman" w:hAnsi="Times New Roman" w:eastAsia="Times New Roman"/>
          <w:b w:val="0"/>
          <w:i w:val="0"/>
          <w:sz w:val="24"/>
        </w:rPr>
        <w:t>Источник: официальное руководство пользователя 1С:ITILIUM, разработчик «Деснол». Внешний вид форм может незначительно отличаться в зависимости от версии системы.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120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336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336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336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