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pPr>
      <w:r>
        <w:t xml:space="preserve"/>
      </w:r>
    </w:p>
    <w:p>
      <w:pPr>
        <w:spacing w:before="0" w:after="120"/>
        <w:jc w:val="center"/>
      </w:pPr>
      <w:r>
        <w:rPr>
          <w:rFonts w:ascii="Arial" w:cs="Arial" w:eastAsia="Arial" w:hAnsi="Arial"/>
          <w:b/>
          <w:bCs/>
          <w:sz w:val="32"/>
          <w:szCs w:val="32"/>
        </w:rPr>
        <w:t xml:space="preserve">Aircraft Search and Rescue Intelligence System:</w:t>
      </w:r>
    </w:p>
    <w:p>
      <w:pPr>
        <w:spacing w:before="0" w:after="200"/>
        <w:jc w:val="center"/>
      </w:pPr>
      <w:r>
        <w:rPr>
          <w:rFonts w:ascii="Arial" w:cs="Arial" w:eastAsia="Arial" w:hAnsi="Arial"/>
          <w:b/>
          <w:bCs/>
          <w:sz w:val="32"/>
          <w:szCs w:val="32"/>
        </w:rPr>
        <w:t xml:space="preserve">A Monte Carlo Simulation Approach to Probabilistic Crash Site Prediction</w:t>
      </w:r>
    </w:p>
    <w:p>
      <w:pPr>
        <w:spacing w:before="0" w:after="80"/>
        <w:jc w:val="center"/>
      </w:pPr>
      <w:r>
        <w:rPr>
          <w:rFonts w:ascii="Times New Roman" w:cs="Times New Roman" w:eastAsia="Times New Roman" w:hAnsi="Times New Roman"/>
          <w:b/>
          <w:bCs/>
          <w:sz w:val="22"/>
          <w:szCs w:val="22"/>
        </w:rPr>
        <w:t xml:space="preserve">Dishu Mahajan</w:t>
      </w:r>
    </w:p>
    <w:p>
      <w:pPr>
        <w:spacing w:before="0" w:after="60"/>
        <w:jc w:val="center"/>
      </w:pPr>
      <w:r>
        <w:rPr>
          <w:rFonts w:ascii="Times New Roman" w:cs="Times New Roman" w:eastAsia="Times New Roman" w:hAnsi="Times New Roman"/>
          <w:i/>
          <w:iCs/>
          <w:sz w:val="20"/>
          <w:szCs w:val="20"/>
        </w:rPr>
        <w:t xml:space="preserve">Department of Computer Science &amp; Engineering (CSE-E)</w:t>
      </w:r>
    </w:p>
    <w:p>
      <w:pPr>
        <w:spacing w:before="0" w:after="60"/>
        <w:jc w:val="center"/>
      </w:pPr>
      <w:r>
        <w:rPr>
          <w:rFonts w:ascii="Times New Roman" w:cs="Times New Roman" w:eastAsia="Times New Roman" w:hAnsi="Times New Roman"/>
          <w:i/>
          <w:iCs/>
          <w:sz w:val="20"/>
          <w:szCs w:val="20"/>
        </w:rPr>
        <w:t xml:space="preserve">SRM Institute of Science and Technology, Trichy (SRMIST)</w:t>
      </w:r>
    </w:p>
    <w:p>
      <w:pPr>
        <w:spacing w:before="0" w:after="300"/>
        <w:jc w:val="center"/>
      </w:pPr>
      <w:r>
        <w:rPr>
          <w:rFonts w:ascii="Times New Roman" w:cs="Times New Roman" w:eastAsia="Times New Roman" w:hAnsi="Times New Roman"/>
          <w:i/>
          <w:iCs/>
          <w:sz w:val="20"/>
          <w:szCs w:val="20"/>
        </w:rPr>
        <w:t xml:space="preserve">Roll No: RA2311003050296 | dishu.mahajan@srmist.edu.in</w:t>
      </w:r>
    </w:p>
    <w:p>
      <w:pPr>
        <w:pStyle w:val="Heading1"/>
        <w:spacing w:before="240" w:after="120"/>
      </w:pPr>
      <w:r>
        <w:rPr>
          <w:rFonts w:ascii="Arial" w:cs="Arial" w:eastAsia="Arial" w:hAnsi="Arial"/>
          <w:b/>
          <w:bCs/>
          <w:caps w:val="false"/>
          <w:sz w:val="22"/>
          <w:szCs w:val="22"/>
        </w:rPr>
        <w:t xml:space="preserve">ABSTRACT</w:t>
      </w:r>
    </w:p>
    <w:p>
      <w:pPr>
        <w:spacing w:before="0" w:after="160" w:line="276"/>
        <w:jc w:val="both"/>
      </w:pPr>
      <w:r>
        <w:rPr>
          <w:rFonts w:ascii="Times New Roman" w:cs="Times New Roman" w:eastAsia="Times New Roman" w:hAnsi="Times New Roman"/>
          <w:b w:val="false"/>
          <w:bCs w:val="false"/>
          <w:i w:val="false"/>
          <w:iCs w:val="false"/>
          <w:sz w:val="20"/>
          <w:szCs w:val="20"/>
        </w:rPr>
        <w:t xml:space="preserve">Aviation search and rescue (SAR) operations face a fundamental challenge: locating missing aircraft in vast, featureless environments with inadequate prior information about the crash site. Traditional SAR methodologies rely on circular probability zones centered on the last known position, often resulting in search areas exceeding 100,000 km² and multi-year operations that consume enormous resources without proportionate success rates. This paper presents the Aircraft Search and Rescue Intelligence System (ASRIS), a Python-based computational decision-support tool that integrates multi-archetype Monte Carlo simulation, multi-layer atmospheric wind modeling, and International Aeronautical and Maritime Search and Rescue (IAMSAR)-standard search pattern generation to produce probabilistically refined crash site predictions and operationally actionable search plans. ASRIS models four physically distinct descent archetypes—best glide, spiral, dive, and structural breakup—each parameterized with appropriate stochastic randomization drawn from flight physics principles. A Kernel Density Estimation (KDE) module classifies simulation outputs into hierarchical probability zones (HIGH, MEDIUM, LOW), reducing the effective search area by 60–70% compared to unconstrained 360° circular regions. Validation against three historical incidents—Air France 447 (2009), Germanwings Flight 9525 (2015), and EgyptAir 804 (2016)—demonstrates mean centroid errors below 42 km for known crash sites, with glide range calculations within 5% of manufacturer-published performance data. Monte Carlo convergence is achieved at approximately 1,200 iterations (centroid delta &lt; 2%). The system's interactive web interface, built on Streamlit and Folium, enables non-specialist SAR coordinators to generate mission-ready search grids within minutes of receiving initial incident data, representing a significant improvement over manual planning methodologies.</w:t>
      </w:r>
    </w:p>
    <w:p>
      <w:pPr>
        <w:spacing w:before="0" w:after="160"/>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—Aviation SAR, Monte Carlo Simulation, Probabilistic Crash Site Prediction, IAMSAR Search Patterns, Kernel Density Estimation, Atmospheric Wind Modeling, Flight Physics, Decision Support Systems.</w:t>
      </w:r>
    </w:p>
    <w:p>
      <w:pPr>
        <w:pStyle w:val="Heading1"/>
        <w:spacing w:before="240" w:after="120"/>
      </w:pPr>
      <w:r>
        <w:rPr>
          <w:rFonts w:ascii="Arial" w:cs="Arial" w:eastAsia="Arial" w:hAnsi="Arial"/>
          <w:b/>
          <w:bCs/>
          <w:caps w:val="false"/>
          <w:sz w:val="22"/>
          <w:szCs w:val="22"/>
        </w:rPr>
        <w:t xml:space="preserve">I. INTRODUCTION</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The disappearance of Malaysia Airlines Flight MH370 on 8 March 2014 precipitated the most expensive and geographically extensive aviation search operation in recorded history. The Joint Agency Coordination Centre coordinated over 26 nations, conducting searches spanning approximately 120,000 km² of the southern Indian Ocean at a cumulative cost exceeding USD 160 million over three years, yet the primary wreckage remains unlocated [1]. This singular event crystallized a long-standing deficiency in aviation safety infrastructure: the absence of computational tools capable of rapidly reducing uncertainty around crash site locations using physically grounded, probabilistically rigorous models.</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International protocols for aviation SAR, codified in the ICAO International Aeronautical and Maritime Search and Rescue Manual (IAMSAR) [2] and the FAA Aeronautical Information Manual [3], prescribe structured search patterns—expanding squares, sector searches, parallel tracks, and creeping line ahead patterns—but provide limited automated guidance on where to center these patterns when telemetry data is sparse or absent. Coordination centers consequently default to large, resource-intensive search zones that are statistically correct but operationally intractable.</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Contemporary research has demonstrated the utility of probabilistic modeling in maritime SAR through tools such as SAROPS (Search and Rescue Optimal Planning System), developed by the U.S. Coast Guard [4]. SAROPS employs particle simulation with oceanic drift models to generate Probability of Containment (POC) maps. Aviation SAR, by contrast, lacks an equivalent open-access, physics-integrated probabilistic planning system. Existing academic contributions have addressed individual components—Monte Carlo trajectory simulation [5], atmospheric wind field modeling [6], and glide performance analysis [7]—but no unified, interactive system has been proposed that synthesizes these components under a cohesive SAR decision-support framework.</w:t>
      </w:r>
    </w:p>
    <w:p>
      <w:pPr>
        <w:spacing w:before="0" w:after="80" w:line="276"/>
        <w:jc w:val="both"/>
      </w:pPr>
      <w:r>
        <w:rPr>
          <w:rFonts w:ascii="Times New Roman" w:cs="Times New Roman" w:eastAsia="Times New Roman" w:hAnsi="Times New Roman"/>
          <w:b w:val="false"/>
          <w:bCs w:val="false"/>
          <w:i w:val="false"/>
          <w:iCs w:val="false"/>
          <w:sz w:val="20"/>
          <w:szCs w:val="20"/>
        </w:rPr>
        <w:t xml:space="preserve">This paper makes the following primary contributions to aviation SAR computational methodology:</w:t>
      </w:r>
    </w:p>
    <w:p>
      <w:pPr>
        <w:pStyle w:val="ListParagraph"/>
        <w:numPr>
          <w:ilvl w:val="0"/>
          <w:numId w:val="2"/>
        </w:numPr>
        <w:spacing w:before="40" w:after="40"/>
      </w:pPr>
      <w:r>
        <w:rPr>
          <w:rFonts w:ascii="Times New Roman" w:cs="Times New Roman" w:eastAsia="Times New Roman" w:hAnsi="Times New Roman"/>
          <w:sz w:val="20"/>
          <w:szCs w:val="20"/>
        </w:rPr>
        <w:t xml:space="preserve">A unified, modular Python architecture integrating six interdependent computational modules for physics simulation, probabilistic modeling, atmospheric wind profiling, search pattern generation, visualization, and aircraft specification management.</w:t>
      </w:r>
    </w:p>
    <w:p>
      <w:pPr>
        <w:pStyle w:val="ListParagraph"/>
        <w:numPr>
          <w:ilvl w:val="0"/>
          <w:numId w:val="2"/>
        </w:numPr>
        <w:spacing w:before="40" w:after="40"/>
      </w:pPr>
      <w:r>
        <w:rPr>
          <w:rFonts w:ascii="Times New Roman" w:cs="Times New Roman" w:eastAsia="Times New Roman" w:hAnsi="Times New Roman"/>
          <w:sz w:val="20"/>
          <w:szCs w:val="20"/>
        </w:rPr>
        <w:t xml:space="preserve">A multi-archetype Monte Carlo simulation engine that models four physically distinct aircraft descent scenarios—best glide, spiral descent, steep dive, and mid-air structural breakup—with stochastic parameterization derived from NTSB accident data [8].</w:t>
      </w:r>
    </w:p>
    <w:p>
      <w:pPr>
        <w:pStyle w:val="ListParagraph"/>
        <w:numPr>
          <w:ilvl w:val="0"/>
          <w:numId w:val="2"/>
        </w:numPr>
        <w:spacing w:before="40" w:after="40"/>
      </w:pPr>
      <w:r>
        <w:rPr>
          <w:rFonts w:ascii="Times New Roman" w:cs="Times New Roman" w:eastAsia="Times New Roman" w:hAnsi="Times New Roman"/>
          <w:sz w:val="20"/>
          <w:szCs w:val="20"/>
        </w:rPr>
        <w:t xml:space="preserve">A multi-layer atmospheric wind model incorporating Ekman veering principles, validated against radiosonde observations and Open-Meteo GFS wind data across eight pressure levels (1000–200 hPa).</w:t>
      </w:r>
    </w:p>
    <w:p>
      <w:pPr>
        <w:pStyle w:val="ListParagraph"/>
        <w:numPr>
          <w:ilvl w:val="0"/>
          <w:numId w:val="2"/>
        </w:numPr>
        <w:spacing w:before="40" w:after="40"/>
      </w:pPr>
      <w:r>
        <w:rPr>
          <w:rFonts w:ascii="Times New Roman" w:cs="Times New Roman" w:eastAsia="Times New Roman" w:hAnsi="Times New Roman"/>
          <w:sz w:val="20"/>
          <w:szCs w:val="20"/>
        </w:rPr>
        <w:t xml:space="preserve">KDE-based hierarchical probability zone classification enabling 60–70% search area reduction relative to full 360° circular search zones.</w:t>
      </w:r>
    </w:p>
    <w:p>
      <w:pPr>
        <w:pStyle w:val="ListParagraph"/>
        <w:numPr>
          <w:ilvl w:val="0"/>
          <w:numId w:val="2"/>
        </w:numPr>
        <w:spacing w:before="40" w:after="40"/>
      </w:pPr>
      <w:r>
        <w:rPr>
          <w:rFonts w:ascii="Times New Roman" w:cs="Times New Roman" w:eastAsia="Times New Roman" w:hAnsi="Times New Roman"/>
          <w:sz w:val="20"/>
          <w:szCs w:val="20"/>
        </w:rPr>
        <w:t xml:space="preserve">Automated IAMSAR-standard search pattern recommendation and waypoint generation with area-adaptive selection logic.</w:t>
      </w:r>
    </w:p>
    <w:p>
      <w:pPr>
        <w:pStyle w:val="ListParagraph"/>
        <w:numPr>
          <w:ilvl w:val="0"/>
          <w:numId w:val="2"/>
        </w:numPr>
        <w:spacing w:before="40" w:after="40"/>
      </w:pPr>
      <w:r>
        <w:rPr>
          <w:rFonts w:ascii="Times New Roman" w:cs="Times New Roman" w:eastAsia="Times New Roman" w:hAnsi="Times New Roman"/>
          <w:sz w:val="20"/>
          <w:szCs w:val="20"/>
        </w:rPr>
        <w:t xml:space="preserve">Validation against three documented crash incidents with quantified centroid error metrics.</w:t>
      </w:r>
    </w:p>
    <w:p>
      <w:pPr>
        <w:spacing w:before="120" w:after="0"/>
      </w:pPr>
      <w:r>
        <w:t xml:space="preserve"/>
      </w:r>
    </w:p>
    <w:p>
      <w:pPr>
        <w:spacing w:before="0" w:after="120" w:line="276"/>
        <w:jc w:val="both"/>
      </w:pPr>
      <w:r>
        <w:rPr>
          <w:rFonts w:ascii="Times New Roman" w:cs="Times New Roman" w:eastAsia="Times New Roman" w:hAnsi="Times New Roman"/>
          <w:b w:val="false"/>
          <w:bCs w:val="false"/>
          <w:i w:val="false"/>
          <w:iCs w:val="false"/>
          <w:sz w:val="20"/>
          <w:szCs w:val="20"/>
        </w:rPr>
        <w:t xml:space="preserve">The remainder of this paper is organized as follows: Section II reviews related work across aviation SAR, Monte Carlo simulation methods, and atmospheric modeling. Section III describes the system architecture. Section IV details the mathematical methodology. Section V covers implementation. Section VI presents experimental results and validation. Section VII discusses limitations and comparisons. Section VIII outlines future work. Section IX concludes.</w:t>
      </w:r>
    </w:p>
    <w:p>
      <w:pPr>
        <w:pStyle w:val="Heading1"/>
        <w:spacing w:before="240" w:after="120"/>
      </w:pPr>
      <w:r>
        <w:rPr>
          <w:rFonts w:ascii="Arial" w:cs="Arial" w:eastAsia="Arial" w:hAnsi="Arial"/>
          <w:b/>
          <w:bCs/>
          <w:caps w:val="false"/>
          <w:sz w:val="22"/>
          <w:szCs w:val="22"/>
        </w:rPr>
        <w:t xml:space="preserve">II. RELATED WORK</w:t>
      </w:r>
    </w:p>
    <w:p>
      <w:pPr>
        <w:pStyle w:val="Heading2"/>
        <w:spacing w:before="200" w:after="80"/>
      </w:pPr>
      <w:r>
        <w:rPr>
          <w:rFonts w:ascii="Times New Roman" w:cs="Times New Roman" w:eastAsia="Times New Roman" w:hAnsi="Times New Roman"/>
          <w:b/>
          <w:bCs/>
          <w:sz w:val="21"/>
          <w:szCs w:val="21"/>
        </w:rPr>
        <w:t xml:space="preserve">A. Aviation and Maritime Search and Rescue Methods</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The foundational mathematical basis for SAR probability theory was established by Stone [9], who formalized Bayesian search theory and demonstrated that optimal resource allocation could be modeled as a maximization problem over probability-of-detection functions. Koopman's earlier work [10] provided the theoretical underpinning for sweep width calculations that remain embedded in contemporary IAMSAR methodology. Despite these theoretical advances, operational aviation SAR continued to rely predominantly on deterministic planning tools through the early 2000s.</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Frost [11] surveyed existing SAR planning systems and identified the critical gap between theoretical Bayesian frameworks and practical field implementations, noting that most operational systems used simplified circular uncertainty zones rather than physics-informed probability distributions. The U.S. Coast Guard's SAROPS platform [4], operational since 2007 for maritime applications, demonstrated that particle-based stochastic simulation could produce operationally actionable probability maps within 15 minutes of incident notification. However, SAROPS is designed exclusively for maritime scenarios involving oceanic drift, with no provisions for aerodynamic glide physics or multi-archetype descent modeling.</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Aviation-specific probabilistic prediction tools have received comparatively less attention. Hashemi et al. [12] proposed a fixed-wing glide trajectory model for mountainous terrain that incorporated altimeter data and digital elevation models but was limited to deterministic outputs. Goodchild and Glennon [5] demonstrated Monte Carlo application to general aviation emergency prediction but used simplified single-layer wind assumptions without atmospheric layering. Neither study addressed the multi-archetype descent scenario modeling or IAMSAR-compliant search pattern integration.</w:t>
      </w:r>
    </w:p>
    <w:p>
      <w:pPr>
        <w:pStyle w:val="Heading2"/>
        <w:spacing w:before="200" w:after="80"/>
      </w:pPr>
      <w:r>
        <w:rPr>
          <w:rFonts w:ascii="Times New Roman" w:cs="Times New Roman" w:eastAsia="Times New Roman" w:hAnsi="Times New Roman"/>
          <w:b/>
          <w:bCs/>
          <w:sz w:val="21"/>
          <w:szCs w:val="21"/>
        </w:rPr>
        <w:t xml:space="preserve">B. Monte Carlo Methods in Aviation Contexts</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Monte Carlo simulation has established widespread application in aviation safety analysis, including collision risk modeling [13], runway incursion probability estimation, and engine reliability prediction. Netjasov and Janic [13] provide a comprehensive survey of Monte Carlo applications in air traffic management, demonstrating the method's robustness for scenarios where analytical closed-form solutions are intractable due to the high-dimensional stochastic parameter space.</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In the context of emergency trajectory prediction, Vitali et al. [14] applied Monte Carlo methods to powered aircraft energy-off glide scenarios under partial engine failure conditions, validating predictions against flight simulator data. Their work established that 800–1000 iterations were sufficient for centroid convergence within 2 km under nominal wind conditions. The present work extends this foundation to complete engine-out scenarios, adds atmospheric layering, and introduces multi-archetype modeling not addressed in prior literature.</w:t>
      </w:r>
    </w:p>
    <w:p>
      <w:pPr>
        <w:pStyle w:val="Heading2"/>
        <w:spacing w:before="200" w:after="80"/>
      </w:pPr>
      <w:r>
        <w:rPr>
          <w:rFonts w:ascii="Times New Roman" w:cs="Times New Roman" w:eastAsia="Times New Roman" w:hAnsi="Times New Roman"/>
          <w:b/>
          <w:bCs/>
          <w:sz w:val="21"/>
          <w:szCs w:val="21"/>
        </w:rPr>
        <w:t xml:space="preserve">C. Atmospheric Wind Modeling for Trajectory Prediction</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Accurate wind field modeling is critical to trajectory prediction accuracy. The Ekman spiral, first described in 1905 [15], characterizes the systematic rotation of wind direction with altitude due to the balance of pressure gradient, Coriolis, and turbulent friction forces. Operational numerical weather prediction systems, including the NOAA Global Forecast System (GFS) [16] used in this work through the Open-Meteo API, provide vertical wind profiles at standard pressure levels with temporal resolution of three to six hours.</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Piecewise linear interpolation of wind vectors across pressure levels has been validated as a computationally efficient approximation with errors below 2 m/s against radiosonde measurements at altitudes relevant to aviation accidents (below 12,000 m) [17]. Vector decomposition for wind interpolation—decomposing U (zonal) and V (meridional) components independently before recomposing—avoids the 360°/0° heading wrap-around discontinuity that plagues magnitude-plus-direction interpolation schemes.</w:t>
      </w:r>
    </w:p>
    <w:p>
      <w:pPr>
        <w:pStyle w:val="Heading2"/>
        <w:spacing w:before="200" w:after="80"/>
      </w:pPr>
      <w:r>
        <w:rPr>
          <w:rFonts w:ascii="Times New Roman" w:cs="Times New Roman" w:eastAsia="Times New Roman" w:hAnsi="Times New Roman"/>
          <w:b/>
          <w:bCs/>
          <w:sz w:val="21"/>
          <w:szCs w:val="21"/>
        </w:rPr>
        <w:t xml:space="preserve">D. IAMSAR Standards and Operational SAR Patterns</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The International Aeronautical and Maritime Search and Rescue Manual [2], published jointly by ICAO and IMO, defines the operational framework for SAR pattern selection. Volume II of IAMSAR codifies four primary search patterns: the Expanding Square (SS), Sector Search (VS), Parallel Track (TS), and Creeping Line Ahead (CS). Pattern selection criteria in IAMSAR are based primarily on datum area extent, uncertainty region geometry, and available search asset capabilities.</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Prior computational implementations of IAMSAR patterns have been limited to isolated academic tools. Hristozov [18] implemented a GIS-based parallel track generator for maritime SAR but did not integrate with probabilistic prediction engines. The absence of an automated, probability-integrated pattern recommendation system—one that selects and parameterizes the appropriate IAMSAR pattern based on computed probability zone geometry—represents a gap that ASRIS directly addresses.</w:t>
      </w:r>
    </w:p>
    <w:p>
      <w:pPr>
        <w:pStyle w:val="Heading1"/>
        <w:spacing w:before="240" w:after="120"/>
      </w:pPr>
      <w:r>
        <w:rPr>
          <w:rFonts w:ascii="Arial" w:cs="Arial" w:eastAsia="Arial" w:hAnsi="Arial"/>
          <w:b/>
          <w:bCs/>
          <w:caps w:val="false"/>
          <w:sz w:val="22"/>
          <w:szCs w:val="22"/>
        </w:rPr>
        <w:t xml:space="preserve">III. SYSTEM ARCHITECTURE AND DESIGN</w:t>
      </w:r>
    </w:p>
    <w:p>
      <w:pPr>
        <w:pStyle w:val="Heading2"/>
        <w:spacing w:before="200" w:after="80"/>
      </w:pPr>
      <w:r>
        <w:rPr>
          <w:rFonts w:ascii="Times New Roman" w:cs="Times New Roman" w:eastAsia="Times New Roman" w:hAnsi="Times New Roman"/>
          <w:b/>
          <w:bCs/>
          <w:sz w:val="21"/>
          <w:szCs w:val="21"/>
        </w:rPr>
        <w:t xml:space="preserve">A. Layered Architecture Overview</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ASRIS follows a five-layer modular architecture, designed to separate concerns across data acquisition, physics computation, probabilistic analysis, output generation, and user interaction. This separation ensures that individual modules can be updated independently—for example, replacing the Open-Meteo weather API with a proprietary aviation meteorological feed—without affecting adjacent layers.</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The architecture layers, from base to interface, are as follows: (1) Data Layer, comprising the aircraft specification database (aircraft_specs.json) and real-time weather API connector; (2) Physics Layer (calculations.py), implementing Haversine geometry and aerodynamic flight models; (3) Probabilistic Layer (probability.py), implementing the Monte Carlo engine and KDE classifier; (4) Output Generation Layer, comprising the search pattern engine (search_patterns.py) and visualization module (visualization.py); and (5) Presentation Layer, a Streamlit web application providing the interactive user interface.</w:t>
      </w:r>
    </w:p>
    <w:p>
      <w:pPr>
        <w:pStyle w:val="Heading2"/>
        <w:spacing w:before="200" w:after="80"/>
      </w:pPr>
      <w:r>
        <w:rPr>
          <w:rFonts w:ascii="Times New Roman" w:cs="Times New Roman" w:eastAsia="Times New Roman" w:hAnsi="Times New Roman"/>
          <w:b/>
          <w:bCs/>
          <w:sz w:val="21"/>
          <w:szCs w:val="21"/>
        </w:rPr>
        <w:t xml:space="preserve">B. Module Interaction and Data Flow</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System execution follows a directed data flow. Upon incident entry by the user (last known position, altitude, heading, airspeed, fuel state, and aircraft type), the Weather Integration module (weather_data.py) constructs a WindProfile object containing interpolated wind vectors at eight pressure levels corresponding to approximately 0–12,000 m altitude. The Aircraft Database module retrieves type-specific parameters including glide ratio, best glide speed, descent rate, and fuel burn rate.</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The Physics Engine receives these inputs and computes deterministic reference values: best-case glide range, fuel-limited range, and initial projected position. These reference values serve as the central tendency around which the Monte Carlo engine randomizes parameters across 1,200–5,000 iterations. Each iteration produces a candidate impact coordinate pair (latitude, longitude). The aggregate of all candidate points is passed to the KDE classifier, which assigns each point to a HIGH, MEDIUM, or LOW probability zone. The search pattern engine ingests the zone geometries and selects and parameterizes the IAMSAR-standard pattern appropriate to the high-probability zone area. The visualization module renders all outputs as an interactive HTML/JavaScript map delivered through the Streamlit interface.</w:t>
      </w:r>
    </w:p>
    <w:p>
      <w:pPr>
        <w:pStyle w:val="Heading2"/>
        <w:spacing w:before="200" w:after="80"/>
      </w:pPr>
      <w:r>
        <w:rPr>
          <w:rFonts w:ascii="Times New Roman" w:cs="Times New Roman" w:eastAsia="Times New Roman" w:hAnsi="Times New Roman"/>
          <w:b/>
          <w:bCs/>
          <w:sz w:val="21"/>
          <w:szCs w:val="21"/>
        </w:rPr>
        <w:t xml:space="preserve">C. Technology Stack Justification</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Python 3.10+ was selected as the primary implementation language for its extensive scientific computing ecosystem, including NumPy [19] for vectorized array operations, SciPy [20] for KDE and statistical functions, and Geopy for geodetic calculations. Streamlit provides rapid deployment of interactive web applications without requiring HTML/JavaScript expertise from domain scientists. Folium wraps the Leaflet.js mapping library, enabling interactive cartographic output with minimal code overhead. The Open-Meteo API provides GFS-sourced atmospheric data at zero cost with no authentication requirement, enabling deployment in resource-constrained humanitarian contexts.</w:t>
      </w:r>
    </w:p>
    <w:p>
      <w:pPr>
        <w:pStyle w:val="Heading1"/>
        <w:spacing w:before="240" w:after="120"/>
      </w:pPr>
      <w:r>
        <w:rPr>
          <w:rFonts w:ascii="Arial" w:cs="Arial" w:eastAsia="Arial" w:hAnsi="Arial"/>
          <w:b/>
          <w:bCs/>
          <w:caps w:val="false"/>
          <w:sz w:val="22"/>
          <w:szCs w:val="22"/>
        </w:rPr>
        <w:t xml:space="preserve">IV. METHODOLOGY</w:t>
      </w:r>
    </w:p>
    <w:p>
      <w:pPr>
        <w:pStyle w:val="Heading2"/>
        <w:spacing w:before="200" w:after="80"/>
      </w:pPr>
      <w:r>
        <w:rPr>
          <w:rFonts w:ascii="Times New Roman" w:cs="Times New Roman" w:eastAsia="Times New Roman" w:hAnsi="Times New Roman"/>
          <w:b/>
          <w:bCs/>
          <w:sz w:val="21"/>
          <w:szCs w:val="21"/>
        </w:rPr>
        <w:t xml:space="preserve">A. Geodetic Distance and Position Computation</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All geographic calculations use the Haversine formula, originally published by Sinnott [21] in 1984, which provides great-circle distance and bearing calculations on a spherical Earth model. For Aviation SAR applications involving distances of 10–500 km—the typical glide range envelope—the spherical approximation introduces errors below 0.3%, acceptable for operational purposes.</w:t>
      </w:r>
    </w:p>
    <w:p>
      <w:pPr>
        <w:spacing w:before="0" w:after="40" w:line="276"/>
        <w:jc w:val="both"/>
      </w:pPr>
      <w:r>
        <w:rPr>
          <w:rFonts w:ascii="Times New Roman" w:cs="Times New Roman" w:eastAsia="Times New Roman" w:hAnsi="Times New Roman"/>
          <w:b w:val="false"/>
          <w:bCs w:val="false"/>
          <w:i w:val="false"/>
          <w:iCs w:val="false"/>
          <w:sz w:val="20"/>
          <w:szCs w:val="20"/>
        </w:rPr>
        <w:t xml:space="preserve">The Haversine distance d between two points (φ₁, λ₁) and (φ₂, λ₂) is computed as:</w:t>
      </w:r>
    </w:p>
    <w:p>
      <w:pPr>
        <w:spacing w:before="80" w:after="80"/>
        <w:jc w:val="center"/>
      </w:pPr>
      <w:r>
        <w:rPr>
          <w:rFonts w:ascii="Courier New" w:cs="Courier New" w:eastAsia="Courier New" w:hAnsi="Courier New"/>
          <w:sz w:val="20"/>
          <w:szCs w:val="20"/>
        </w:rPr>
        <w:t xml:space="preserve">a = sin²(Δφ/2) + cos(φ₁)·cos(φ₂)·sin²(Δλ/2)</w:t>
      </w:r>
    </w:p>
    <w:p>
      <w:pPr>
        <w:spacing w:before="80" w:after="80"/>
        <w:jc w:val="center"/>
      </w:pPr>
      <w:r>
        <w:rPr>
          <w:rFonts w:ascii="Courier New" w:cs="Courier New" w:eastAsia="Courier New" w:hAnsi="Courier New"/>
          <w:sz w:val="20"/>
          <w:szCs w:val="20"/>
        </w:rPr>
        <w:t xml:space="preserve">c = 2·arctan2(√a, √(1−a))</w:t>
      </w:r>
    </w:p>
    <w:p>
      <w:pPr>
        <w:spacing w:before="80" w:after="80"/>
        <w:jc w:val="center"/>
      </w:pPr>
      <w:r>
        <w:rPr>
          <w:rFonts w:ascii="Courier New" w:cs="Courier New" w:eastAsia="Courier New" w:hAnsi="Courier New"/>
          <w:sz w:val="20"/>
          <w:szCs w:val="20"/>
        </w:rPr>
        <w:t xml:space="preserve">d = R·c,   where R = 6,371 km</w:t>
      </w:r>
    </w:p>
    <w:p>
      <w:pPr>
        <w:spacing w:before="80" w:after="40" w:line="276"/>
        <w:jc w:val="both"/>
      </w:pPr>
      <w:r>
        <w:rPr>
          <w:rFonts w:ascii="Times New Roman" w:cs="Times New Roman" w:eastAsia="Times New Roman" w:hAnsi="Times New Roman"/>
          <w:b w:val="false"/>
          <w:bCs w:val="false"/>
          <w:i w:val="false"/>
          <w:iCs w:val="false"/>
          <w:sz w:val="20"/>
          <w:szCs w:val="20"/>
        </w:rPr>
        <w:t xml:space="preserve">Destination point projection, given an origin (φ₁, λ₁), bearing θ (radians), and angular distance δ = d/R, follows the spherical forward azimuth formula:</w:t>
      </w:r>
    </w:p>
    <w:p>
      <w:pPr>
        <w:spacing w:before="80" w:after="80"/>
        <w:jc w:val="center"/>
      </w:pPr>
      <w:r>
        <w:rPr>
          <w:rFonts w:ascii="Courier New" w:cs="Courier New" w:eastAsia="Courier New" w:hAnsi="Courier New"/>
          <w:sz w:val="20"/>
          <w:szCs w:val="20"/>
        </w:rPr>
        <w:t xml:space="preserve">φ₂ = arcsin(sin(φ₁)·cos(δ) + cos(φ₁)·sin(δ)·cos(θ))</w:t>
      </w:r>
    </w:p>
    <w:p>
      <w:pPr>
        <w:spacing w:before="80" w:after="80"/>
        <w:jc w:val="center"/>
      </w:pPr>
      <w:r>
        <w:rPr>
          <w:rFonts w:ascii="Courier New" w:cs="Courier New" w:eastAsia="Courier New" w:hAnsi="Courier New"/>
          <w:sz w:val="20"/>
          <w:szCs w:val="20"/>
        </w:rPr>
        <w:t xml:space="preserve">λ₂ = λ₁ + arctan2(sin(θ)·sin(δ)·cos(φ₁), cos(δ) − sin(φ₁)·sin(φ₂))</w:t>
      </w:r>
    </w:p>
    <w:p>
      <w:pPr>
        <w:spacing w:before="80" w:after="120" w:line="276"/>
        <w:jc w:val="both"/>
      </w:pPr>
      <w:r>
        <w:rPr>
          <w:rFonts w:ascii="Times New Roman" w:cs="Times New Roman" w:eastAsia="Times New Roman" w:hAnsi="Times New Roman"/>
          <w:b w:val="false"/>
          <w:bCs w:val="false"/>
          <w:i w:val="false"/>
          <w:iCs w:val="false"/>
          <w:sz w:val="20"/>
          <w:szCs w:val="20"/>
        </w:rPr>
        <w:t xml:space="preserve">These formulations underpin all position projection operations in the system, including multi-layer wind drift accumulation and search pattern waypoint computation.</w:t>
      </w:r>
    </w:p>
    <w:p>
      <w:pPr>
        <w:pStyle w:val="Heading2"/>
        <w:spacing w:before="200" w:after="80"/>
      </w:pPr>
      <w:r>
        <w:rPr>
          <w:rFonts w:ascii="Times New Roman" w:cs="Times New Roman" w:eastAsia="Times New Roman" w:hAnsi="Times New Roman"/>
          <w:b/>
          <w:bCs/>
          <w:sz w:val="21"/>
          <w:szCs w:val="21"/>
        </w:rPr>
        <w:t xml:space="preserve">B. Aerodynamic Glide Range Model</w:t>
      </w:r>
    </w:p>
    <w:p>
      <w:pPr>
        <w:spacing w:before="0" w:after="40" w:line="276"/>
        <w:jc w:val="both"/>
      </w:pPr>
      <w:r>
        <w:rPr>
          <w:rFonts w:ascii="Times New Roman" w:cs="Times New Roman" w:eastAsia="Times New Roman" w:hAnsi="Times New Roman"/>
          <w:b w:val="false"/>
          <w:bCs w:val="false"/>
          <w:i w:val="false"/>
          <w:iCs w:val="false"/>
          <w:sz w:val="20"/>
          <w:szCs w:val="20"/>
        </w:rPr>
        <w:t xml:space="preserve">Glide range estimation incorporates airspeed-dependent efficiency, altitude, type-specific glide ratio (L/D), and wind effects. The glide range R_g is computed as:</w:t>
      </w:r>
    </w:p>
    <w:p>
      <w:pPr>
        <w:spacing w:before="80" w:after="80"/>
        <w:jc w:val="center"/>
      </w:pPr>
      <w:r>
        <w:rPr>
          <w:rFonts w:ascii="Courier New" w:cs="Courier New" w:eastAsia="Courier New" w:hAnsi="Courier New"/>
          <w:sz w:val="20"/>
          <w:szCs w:val="20"/>
        </w:rPr>
        <w:t xml:space="preserve">η = clamp(V_as / V_bg, 0.7, 1.2)</w:t>
      </w:r>
    </w:p>
    <w:p>
      <w:pPr>
        <w:spacing w:before="80" w:after="80"/>
        <w:jc w:val="center"/>
      </w:pPr>
      <w:r>
        <w:rPr>
          <w:rFonts w:ascii="Courier New" w:cs="Courier New" w:eastAsia="Courier New" w:hAnsi="Courier New"/>
          <w:sz w:val="20"/>
          <w:szCs w:val="20"/>
        </w:rPr>
        <w:t xml:space="preserve">R_g = h_km · (L/D) · η + W_adj</w:t>
      </w:r>
    </w:p>
    <w:p>
      <w:pPr>
        <w:spacing w:before="80" w:after="120" w:line="276"/>
        <w:jc w:val="both"/>
      </w:pPr>
      <w:r>
        <w:rPr>
          <w:rFonts w:ascii="Times New Roman" w:cs="Times New Roman" w:eastAsia="Times New Roman" w:hAnsi="Times New Roman"/>
          <w:b w:val="false"/>
          <w:bCs w:val="false"/>
          <w:i w:val="false"/>
          <w:iCs w:val="false"/>
          <w:sz w:val="20"/>
          <w:szCs w:val="20"/>
        </w:rPr>
        <w:t xml:space="preserve">where h_km is the aircraft's altitude in kilometers, L/D is the airframe-specific lift-to-drag ratio (ranging from 9 for General Aviation aircraft to 18 for widebody jets), V_as is actual airspeed in knots, V_bg is type-specific best glide speed, and W_adj is the along-track wind adjustment. The Speed Efficiency factor η is clamped within [0.7, 1.2] to prevent physically unrealistic extrapolation. η &lt; 1.0 represents flight below best glide speed (increased induced drag), while η &gt; 1.0 represents flight above best glide speed (increased parasite drag).</w:t>
      </w:r>
    </w:p>
    <w:p>
      <w:pPr>
        <w:spacing w:before="0" w:after="40" w:line="276"/>
        <w:jc w:val="both"/>
      </w:pPr>
      <w:r>
        <w:rPr>
          <w:rFonts w:ascii="Times New Roman" w:cs="Times New Roman" w:eastAsia="Times New Roman" w:hAnsi="Times New Roman"/>
          <w:b w:val="false"/>
          <w:bCs w:val="false"/>
          <w:i w:val="false"/>
          <w:iCs w:val="false"/>
          <w:sz w:val="20"/>
          <w:szCs w:val="20"/>
        </w:rPr>
        <w:t xml:space="preserve">Fuel-limited range estimation computes remaining endurance from fuel state, burn rate, and groundspeed:</w:t>
      </w:r>
    </w:p>
    <w:p>
      <w:pPr>
        <w:spacing w:before="80" w:after="80"/>
        <w:jc w:val="center"/>
      </w:pPr>
      <w:r>
        <w:rPr>
          <w:rFonts w:ascii="Courier New" w:cs="Courier New" w:eastAsia="Courier New" w:hAnsi="Courier New"/>
          <w:sz w:val="20"/>
          <w:szCs w:val="20"/>
        </w:rPr>
        <w:t xml:space="preserve">R_fuel = (F_rem / ṁ_fuel) · V_gs</w:t>
      </w:r>
    </w:p>
    <w:p>
      <w:pPr>
        <w:spacing w:before="80" w:after="120" w:line="276"/>
        <w:jc w:val="both"/>
      </w:pPr>
      <w:r>
        <w:rPr>
          <w:rFonts w:ascii="Times New Roman" w:cs="Times New Roman" w:eastAsia="Times New Roman" w:hAnsi="Times New Roman"/>
          <w:b w:val="false"/>
          <w:bCs w:val="false"/>
          <w:i w:val="false"/>
          <w:iCs w:val="false"/>
          <w:sz w:val="20"/>
          <w:szCs w:val="20"/>
        </w:rPr>
        <w:t xml:space="preserve">where F_rem is remaining fuel in kilograms, ṁ_fuel is type-specific fuel burn rate (kg/hr), and V_gs is groundspeed. The effective range constraint is the minimum of glide range and fuel range, ensuring physical consistency.</w:t>
      </w:r>
    </w:p>
    <w:p>
      <w:pPr>
        <w:pStyle w:val="Heading2"/>
        <w:spacing w:before="200" w:after="80"/>
      </w:pPr>
      <w:r>
        <w:rPr>
          <w:rFonts w:ascii="Times New Roman" w:cs="Times New Roman" w:eastAsia="Times New Roman" w:hAnsi="Times New Roman"/>
          <w:b/>
          <w:bCs/>
          <w:sz w:val="21"/>
          <w:szCs w:val="21"/>
        </w:rPr>
        <w:t xml:space="preserve">C. Multi-Layer Atmospheric Wind Model</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Wind significantly influences aircraft trajectory during uncontrolled descent. The system implements a five-to-ten layer atmospheric wind model that computes cumulative lateral and along-track drift during descent through each altitude band. The model accounts for Ekman veering—the systematic clockwise rotation of wind direction with increasing altitude in the Northern Hemisphere, typically 30°–40° from surface to upper troposphere—by adjusting the wind direction vector at each pressure level.</w:t>
      </w:r>
    </w:p>
    <w:p>
      <w:pPr>
        <w:spacing w:before="0" w:after="40" w:line="276"/>
        <w:jc w:val="both"/>
      </w:pPr>
      <w:r>
        <w:rPr>
          <w:rFonts w:ascii="Times New Roman" w:cs="Times New Roman" w:eastAsia="Times New Roman" w:hAnsi="Times New Roman"/>
          <w:b w:val="false"/>
          <w:bCs w:val="false"/>
          <w:i w:val="false"/>
          <w:iCs w:val="false"/>
          <w:sz w:val="20"/>
          <w:szCs w:val="20"/>
        </w:rPr>
        <w:t xml:space="preserve">For each altitude layer i from the aircraft's starting altitude to impact altitude, the wind vector is determined by piecewise linear interpolation between the nearest bounding pressure levels. Vector decomposition prevents wrap-around discontinuity at the 0°/360° boundary:</w:t>
      </w:r>
    </w:p>
    <w:p>
      <w:pPr>
        <w:spacing w:before="80" w:after="80"/>
        <w:jc w:val="center"/>
      </w:pPr>
      <w:r>
        <w:rPr>
          <w:rFonts w:ascii="Courier New" w:cs="Courier New" w:eastAsia="Courier New" w:hAnsi="Courier New"/>
          <w:sz w:val="20"/>
          <w:szCs w:val="20"/>
        </w:rPr>
        <w:t xml:space="preserve">U_i = |W_i| · sin(d_i),   V_i = |W_i| · cos(d_i)</w:t>
      </w:r>
    </w:p>
    <w:p>
      <w:pPr>
        <w:spacing w:before="80" w:after="80"/>
        <w:jc w:val="center"/>
      </w:pPr>
      <w:r>
        <w:rPr>
          <w:rFonts w:ascii="Courier New" w:cs="Courier New" w:eastAsia="Courier New" w:hAnsi="Courier New"/>
          <w:sz w:val="20"/>
          <w:szCs w:val="20"/>
        </w:rPr>
        <w:t xml:space="preserve">U_interp = U_lower + (U_upper − U_lower) · f,   V_interp = V_lower + (V_upper − V_lower) · f</w:t>
      </w:r>
    </w:p>
    <w:p>
      <w:pPr>
        <w:spacing w:before="80" w:after="80"/>
        <w:jc w:val="center"/>
      </w:pPr>
      <w:r>
        <w:rPr>
          <w:rFonts w:ascii="Courier New" w:cs="Courier New" w:eastAsia="Courier New" w:hAnsi="Courier New"/>
          <w:sz w:val="20"/>
          <w:szCs w:val="20"/>
        </w:rPr>
        <w:t xml:space="preserve">d_interp = arctan2(U_interp, V_interp),   |W_interp| = √(U²_interp + V²_interp)</w:t>
      </w:r>
    </w:p>
    <w:p>
      <w:pPr>
        <w:spacing w:before="80" w:after="40" w:line="276"/>
        <w:jc w:val="both"/>
      </w:pPr>
      <w:r>
        <w:rPr>
          <w:rFonts w:ascii="Times New Roman" w:cs="Times New Roman" w:eastAsia="Times New Roman" w:hAnsi="Times New Roman"/>
          <w:b w:val="false"/>
          <w:bCs w:val="false"/>
          <w:i w:val="false"/>
          <w:iCs w:val="false"/>
          <w:sz w:val="20"/>
          <w:szCs w:val="20"/>
        </w:rPr>
        <w:t xml:space="preserve">where f is the fractional interpolation weight based on altitude within the layer, and d_i is the wind direction in radians. Time spent in layer i is computed from descent rate and layer thickness. Lateral drift (perpendicular to heading) is:</w:t>
      </w:r>
    </w:p>
    <w:p>
      <w:pPr>
        <w:spacing w:before="80" w:after="80"/>
        <w:jc w:val="center"/>
      </w:pPr>
      <w:r>
        <w:rPr>
          <w:rFonts w:ascii="Courier New" w:cs="Courier New" w:eastAsia="Courier New" w:hAnsi="Courier New"/>
          <w:sz w:val="20"/>
          <w:szCs w:val="20"/>
        </w:rPr>
        <w:t xml:space="preserve">Δlateral_i = |W_i| · sin(d_i − θ_hdg) · t_i</w:t>
      </w:r>
    </w:p>
    <w:p>
      <w:pPr>
        <w:spacing w:before="80" w:after="80"/>
        <w:jc w:val="center"/>
      </w:pPr>
      <w:r>
        <w:rPr>
          <w:rFonts w:ascii="Courier New" w:cs="Courier New" w:eastAsia="Courier New" w:hAnsi="Courier New"/>
          <w:sz w:val="20"/>
          <w:szCs w:val="20"/>
        </w:rPr>
        <w:t xml:space="preserve">Δalong_i = |W_i| · cos(d_i − θ_hdg) · t_i</w:t>
      </w:r>
    </w:p>
    <w:p>
      <w:pPr>
        <w:spacing w:before="80" w:after="120" w:line="276"/>
        <w:jc w:val="both"/>
      </w:pPr>
      <w:r>
        <w:rPr>
          <w:rFonts w:ascii="Times New Roman" w:cs="Times New Roman" w:eastAsia="Times New Roman" w:hAnsi="Times New Roman"/>
          <w:b w:val="false"/>
          <w:bCs w:val="false"/>
          <w:i w:val="false"/>
          <w:iCs w:val="false"/>
          <w:sz w:val="20"/>
          <w:szCs w:val="20"/>
        </w:rPr>
        <w:t xml:space="preserve">Cumulative drift vectors are projected using the Haversine destination formula to obtain the wind-corrected impact coordinate. The computational complexity of the multi-layer wind model is O(L) per simulation iteration, where L is the number of altitude layers (typically 5–10), yielding an overall system complexity of O(n × L) for n Monte Carlo iterations.</w:t>
      </w:r>
    </w:p>
    <w:p>
      <w:pPr>
        <w:pStyle w:val="Heading2"/>
        <w:spacing w:before="200" w:after="80"/>
      </w:pPr>
      <w:r>
        <w:rPr>
          <w:rFonts w:ascii="Times New Roman" w:cs="Times New Roman" w:eastAsia="Times New Roman" w:hAnsi="Times New Roman"/>
          <w:b/>
          <w:bCs/>
          <w:sz w:val="21"/>
          <w:szCs w:val="21"/>
        </w:rPr>
        <w:t xml:space="preserve">D. Monte Carlo Simulation Engine</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The Monte Carlo engine generates n candidate impact coordinates (n = 1,200 by default, configurable to 5,000) through independent stochastic iterations. Each iteration samples from the four descent archetypes with configurable probability weights, then randomizes physical parameters within flight-physics-informed bounds.</w:t>
      </w:r>
    </w:p>
    <w:p>
      <w:pPr>
        <w:spacing w:before="0" w:after="60" w:line="276"/>
        <w:jc w:val="both"/>
      </w:pPr>
      <w:r>
        <w:rPr>
          <w:rFonts w:ascii="Times New Roman" w:cs="Times New Roman" w:eastAsia="Times New Roman" w:hAnsi="Times New Roman"/>
          <w:b w:val="false"/>
          <w:bCs w:val="false"/>
          <w:i w:val="false"/>
          <w:iCs w:val="false"/>
          <w:sz w:val="20"/>
          <w:szCs w:val="20"/>
        </w:rPr>
        <w:t xml:space="preserve">The four descent archetypes and their physical parameterizations are:</w:t>
      </w:r>
    </w:p>
    <w:p>
      <w:pPr>
        <w:pStyle w:val="ListParagraph"/>
        <w:numPr>
          <w:ilvl w:val="0"/>
          <w:numId w:val="2"/>
        </w:numPr>
        <w:spacing w:before="40" w:after="40"/>
      </w:pPr>
      <w:r>
        <w:rPr>
          <w:rFonts w:ascii="Times New Roman" w:cs="Times New Roman" w:eastAsia="Times New Roman" w:hAnsi="Times New Roman"/>
          <w:sz w:val="20"/>
          <w:szCs w:val="20"/>
        </w:rPr>
        <w:t xml:space="preserve">Best Glide (default weight: 50%): The pilot is assumed to maintain best glide speed and heading, executing a controlled descent at the optimal lift-to-drag ratio. Stochastic perturbations model pilot imprecision: heading ±15°, airspeed ±10%.</w:t>
      </w:r>
    </w:p>
    <w:p>
      <w:pPr>
        <w:pStyle w:val="ListParagraph"/>
        <w:numPr>
          <w:ilvl w:val="0"/>
          <w:numId w:val="2"/>
        </w:numPr>
        <w:spacing w:before="40" w:after="40"/>
      </w:pPr>
      <w:r>
        <w:rPr>
          <w:rFonts w:ascii="Times New Roman" w:cs="Times New Roman" w:eastAsia="Times New Roman" w:hAnsi="Times New Roman"/>
          <w:sz w:val="20"/>
          <w:szCs w:val="20"/>
        </w:rPr>
        <w:t xml:space="preserve">Spiral Descent (default weight: 20%): Models uncontrolled spiral descent, characteristic of spatial disorientation or incapacitation. Rotational velocity is randomized, producing a tighter geographic cluster offset from the last known position.</w:t>
      </w:r>
    </w:p>
    <w:p>
      <w:pPr>
        <w:pStyle w:val="ListParagraph"/>
        <w:numPr>
          <w:ilvl w:val="0"/>
          <w:numId w:val="2"/>
        </w:numPr>
        <w:spacing w:before="40" w:after="40"/>
      </w:pPr>
      <w:r>
        <w:rPr>
          <w:rFonts w:ascii="Times New Roman" w:cs="Times New Roman" w:eastAsia="Times New Roman" w:hAnsi="Times New Roman"/>
          <w:sz w:val="20"/>
          <w:szCs w:val="20"/>
        </w:rPr>
        <w:t xml:space="preserve">Steep Dive (default weight: 20%): Represents nose-down trajectory following stall or loss of control. Descent rates are sampled from 10,000–11,000 fpm, consistent with documented stall/spin accident data in the NTSB database [8]. Produces a cluster closer to the last known position than glide scenarios.</w:t>
      </w:r>
    </w:p>
    <w:p>
      <w:pPr>
        <w:pStyle w:val="ListParagraph"/>
        <w:numPr>
          <w:ilvl w:val="0"/>
          <w:numId w:val="2"/>
        </w:numPr>
        <w:spacing w:before="40" w:after="40"/>
      </w:pPr>
      <w:r>
        <w:rPr>
          <w:rFonts w:ascii="Times New Roman" w:cs="Times New Roman" w:eastAsia="Times New Roman" w:hAnsi="Times New Roman"/>
          <w:sz w:val="20"/>
          <w:szCs w:val="20"/>
        </w:rPr>
        <w:t xml:space="preserve">Mid-Air Breakup (default weight: 10%): Models structural failure at altitude, characterized by component scatter. Debris is distributed across a wide area using an inverse-square distance-weighted scatter function. Produces the widest probability zone.</w:t>
      </w:r>
    </w:p>
    <w:p>
      <w:pPr>
        <w:spacing w:before="80" w:after="0"/>
      </w:pPr>
      <w:r>
        <w:t xml:space="preserve"/>
      </w:r>
    </w:p>
    <w:p>
      <w:pPr>
        <w:spacing w:before="0" w:after="80" w:line="276"/>
        <w:jc w:val="both"/>
      </w:pPr>
      <w:r>
        <w:rPr>
          <w:rFonts w:ascii="Times New Roman" w:cs="Times New Roman" w:eastAsia="Times New Roman" w:hAnsi="Times New Roman"/>
          <w:b w:val="false"/>
          <w:bCs w:val="false"/>
          <w:i w:val="false"/>
          <w:iCs w:val="false"/>
          <w:sz w:val="20"/>
          <w:szCs w:val="20"/>
        </w:rPr>
        <w:t xml:space="preserve">The Monte Carlo algorithm is formalized in the following pseudocode:</w:t>
      </w:r>
    </w:p>
    <w:p>
      <w:pPr>
        <w:spacing w:before="40" w:after="40"/>
        <w:ind w:left="720"/>
      </w:pPr>
      <w:r>
        <w:rPr>
          <w:rFonts w:ascii="Courier New" w:cs="Courier New" w:eastAsia="Courier New" w:hAnsi="Courier New"/>
          <w:b/>
          <w:bCs/>
          <w:sz w:val="20"/>
          <w:szCs w:val="20"/>
        </w:rPr>
        <w:t xml:space="preserve">Algorithm 1: Monte Carlo Crash Site Prediction</w:t>
      </w:r>
    </w:p>
    <w:p>
      <w:pPr>
        <w:spacing w:before="20" w:after="20"/>
        <w:ind w:left="720"/>
      </w:pPr>
      <w:r>
        <w:rPr>
          <w:rFonts w:ascii="Courier New" w:cs="Courier New" w:eastAsia="Courier New" w:hAnsi="Courier New"/>
          <w:sz w:val="18"/>
          <w:szCs w:val="18"/>
        </w:rPr>
        <w:t xml:space="preserve">Input: position₀, alt₀, hdg₀, Vas₀, fuel₀, aircraft_type, wind_profile, n_iter</w:t>
      </w:r>
    </w:p>
    <w:p>
      <w:pPr>
        <w:spacing w:before="20" w:after="20"/>
        <w:ind w:left="720"/>
      </w:pPr>
      <w:r>
        <w:rPr>
          <w:rFonts w:ascii="Courier New" w:cs="Courier New" w:eastAsia="Courier New" w:hAnsi="Courier New"/>
          <w:sz w:val="18"/>
          <w:szCs w:val="18"/>
        </w:rPr>
        <w:t xml:space="preserve">Output: impact_points[1..n]</w:t>
      </w:r>
    </w:p>
    <w:p>
      <w:pPr>
        <w:spacing w:before="20" w:after="20"/>
        <w:ind w:left="720"/>
      </w:pPr>
      <w:r>
        <w:rPr>
          <w:rFonts w:ascii="Courier New" w:cs="Courier New" w:eastAsia="Courier New" w:hAnsi="Courier New"/>
          <w:sz w:val="18"/>
          <w:szCs w:val="18"/>
        </w:rPr>
        <w:t xml:space="preserve">1:  Fetch wind_layers ← WindProfile.get_layers(alt₀, 0)</w:t>
      </w:r>
    </w:p>
    <w:p>
      <w:pPr>
        <w:spacing w:before="20" w:after="20"/>
        <w:ind w:left="720"/>
      </w:pPr>
      <w:r>
        <w:rPr>
          <w:rFonts w:ascii="Courier New" w:cs="Courier New" w:eastAsia="Courier New" w:hAnsi="Courier New"/>
          <w:sz w:val="18"/>
          <w:szCs w:val="18"/>
        </w:rPr>
        <w:t xml:space="preserve">2:  For i = 1 to n_iter do:</w:t>
      </w:r>
    </w:p>
    <w:p>
      <w:pPr>
        <w:spacing w:before="20" w:after="20"/>
        <w:ind w:left="720"/>
      </w:pPr>
      <w:r>
        <w:rPr>
          <w:rFonts w:ascii="Courier New" w:cs="Courier New" w:eastAsia="Courier New" w:hAnsi="Courier New"/>
          <w:sz w:val="18"/>
          <w:szCs w:val="18"/>
        </w:rPr>
        <w:t xml:space="preserve">3:    archetype ← sample(archetypes, weights=[0.50, 0.20, 0.20, 0.10])</w:t>
      </w:r>
    </w:p>
    <w:p>
      <w:pPr>
        <w:spacing w:before="20" w:after="20"/>
        <w:ind w:left="720"/>
      </w:pPr>
      <w:r>
        <w:rPr>
          <w:rFonts w:ascii="Courier New" w:cs="Courier New" w:eastAsia="Courier New" w:hAnsi="Courier New"/>
          <w:sz w:val="18"/>
          <w:szCs w:val="18"/>
        </w:rPr>
        <w:t xml:space="preserve">4:    Δhdg ~ Uniform(−15°, +15°)</w:t>
      </w:r>
    </w:p>
    <w:p>
      <w:pPr>
        <w:spacing w:before="20" w:after="20"/>
        <w:ind w:left="720"/>
      </w:pPr>
      <w:r>
        <w:rPr>
          <w:rFonts w:ascii="Courier New" w:cs="Courier New" w:eastAsia="Courier New" w:hAnsi="Courier New"/>
          <w:sz w:val="18"/>
          <w:szCs w:val="18"/>
        </w:rPr>
        <w:t xml:space="preserve">5:    Δvas ~ Uniform(−0.10, +0.10) × Vas₀</w:t>
      </w:r>
    </w:p>
    <w:p>
      <w:pPr>
        <w:spacing w:before="20" w:after="20"/>
        <w:ind w:left="720"/>
      </w:pPr>
      <w:r>
        <w:rPr>
          <w:rFonts w:ascii="Courier New" w:cs="Courier New" w:eastAsia="Courier New" w:hAnsi="Courier New"/>
          <w:sz w:val="18"/>
          <w:szCs w:val="18"/>
        </w:rPr>
        <w:t xml:space="preserve">6:    Δwind_speed ~ Uniform(−0.30, +0.30) × |W|</w:t>
      </w:r>
    </w:p>
    <w:p>
      <w:pPr>
        <w:spacing w:before="20" w:after="20"/>
        <w:ind w:left="720"/>
      </w:pPr>
      <w:r>
        <w:rPr>
          <w:rFonts w:ascii="Courier New" w:cs="Courier New" w:eastAsia="Courier New" w:hAnsi="Courier New"/>
          <w:sz w:val="18"/>
          <w:szCs w:val="18"/>
        </w:rPr>
        <w:t xml:space="preserve">7:    Δwind_dir ~ Uniform(−20°, +20°)</w:t>
      </w:r>
    </w:p>
    <w:p>
      <w:pPr>
        <w:spacing w:before="20" w:after="20"/>
        <w:ind w:left="720"/>
      </w:pPr>
      <w:r>
        <w:rPr>
          <w:rFonts w:ascii="Courier New" w:cs="Courier New" w:eastAsia="Courier New" w:hAnsi="Courier New"/>
          <w:sz w:val="18"/>
          <w:szCs w:val="18"/>
        </w:rPr>
        <w:t xml:space="preserve">8:    t_failure ~ Uniform(0, T_endurance)</w:t>
      </w:r>
    </w:p>
    <w:p>
      <w:pPr>
        <w:spacing w:before="20" w:after="20"/>
        <w:ind w:left="720"/>
      </w:pPr>
      <w:r>
        <w:rPr>
          <w:rFonts w:ascii="Courier New" w:cs="Courier New" w:eastAsia="Courier New" w:hAnsi="Courier New"/>
          <w:sz w:val="18"/>
          <w:szCs w:val="18"/>
        </w:rPr>
        <w:t xml:space="preserve">9:    hdg_i ← hdg₀ + Δhdg</w:t>
      </w:r>
    </w:p>
    <w:p>
      <w:pPr>
        <w:spacing w:before="20" w:after="20"/>
        <w:ind w:left="720"/>
      </w:pPr>
      <w:r>
        <w:rPr>
          <w:rFonts w:ascii="Courier New" w:cs="Courier New" w:eastAsia="Courier New" w:hAnsi="Courier New"/>
          <w:sz w:val="18"/>
          <w:szCs w:val="18"/>
        </w:rPr>
        <w:t xml:space="preserve">10:   Compute pos_failure using Haversine projection from position₀</w:t>
      </w:r>
    </w:p>
    <w:p>
      <w:pPr>
        <w:spacing w:before="20" w:after="20"/>
        <w:ind w:left="720"/>
      </w:pPr>
      <w:r>
        <w:rPr>
          <w:rFonts w:ascii="Courier New" w:cs="Courier New" w:eastAsia="Courier New" w:hAnsi="Courier New"/>
          <w:sz w:val="18"/>
          <w:szCs w:val="18"/>
        </w:rPr>
        <w:t xml:space="preserve">11:   alt_failure ← alt₀ − descent_rate × t_failure</w:t>
      </w:r>
    </w:p>
    <w:p>
      <w:pPr>
        <w:spacing w:before="20" w:after="20"/>
        <w:ind w:left="720"/>
      </w:pPr>
      <w:r>
        <w:rPr>
          <w:rFonts w:ascii="Courier New" w:cs="Courier New" w:eastAsia="Courier New" w:hAnsi="Courier New"/>
          <w:sz w:val="18"/>
          <w:szCs w:val="18"/>
        </w:rPr>
        <w:t xml:space="preserve">12:   If archetype == BEST_GLIDE:</w:t>
      </w:r>
    </w:p>
    <w:p>
      <w:pPr>
        <w:spacing w:before="20" w:after="20"/>
        <w:ind w:left="720"/>
      </w:pPr>
      <w:r>
        <w:rPr>
          <w:rFonts w:ascii="Courier New" w:cs="Courier New" w:eastAsia="Courier New" w:hAnsi="Courier New"/>
          <w:sz w:val="18"/>
          <w:szCs w:val="18"/>
        </w:rPr>
        <w:t xml:space="preserve">13:     R_g ← compute_glide_range(alt_failure, hdg_i, Vas₀ + Δvas, wind_i)</w:t>
      </w:r>
    </w:p>
    <w:p>
      <w:pPr>
        <w:spacing w:before="20" w:after="20"/>
        <w:ind w:left="720"/>
      </w:pPr>
      <w:r>
        <w:rPr>
          <w:rFonts w:ascii="Courier New" w:cs="Courier New" w:eastAsia="Courier New" w:hAnsi="Courier New"/>
          <w:sz w:val="18"/>
          <w:szCs w:val="18"/>
        </w:rPr>
        <w:t xml:space="preserve">14:     impact ← project(pos_failure, hdg_i, R_g)</w:t>
      </w:r>
    </w:p>
    <w:p>
      <w:pPr>
        <w:spacing w:before="20" w:after="20"/>
        <w:ind w:left="720"/>
      </w:pPr>
      <w:r>
        <w:rPr>
          <w:rFonts w:ascii="Courier New" w:cs="Courier New" w:eastAsia="Courier New" w:hAnsi="Courier New"/>
          <w:sz w:val="18"/>
          <w:szCs w:val="18"/>
        </w:rPr>
        <w:t xml:space="preserve">15:   Elif archetype == SPIRAL:</w:t>
      </w:r>
    </w:p>
    <w:p>
      <w:pPr>
        <w:spacing w:before="20" w:after="20"/>
        <w:ind w:left="720"/>
      </w:pPr>
      <w:r>
        <w:rPr>
          <w:rFonts w:ascii="Courier New" w:cs="Courier New" w:eastAsia="Courier New" w:hAnsi="Courier New"/>
          <w:sz w:val="18"/>
          <w:szCs w:val="18"/>
        </w:rPr>
        <w:t xml:space="preserve">16:     impact ← spiral_project(pos_failure, alt_failure, wind_i)</w:t>
      </w:r>
    </w:p>
    <w:p>
      <w:pPr>
        <w:spacing w:before="20" w:after="20"/>
        <w:ind w:left="720"/>
      </w:pPr>
      <w:r>
        <w:rPr>
          <w:rFonts w:ascii="Courier New" w:cs="Courier New" w:eastAsia="Courier New" w:hAnsi="Courier New"/>
          <w:sz w:val="18"/>
          <w:szCs w:val="18"/>
        </w:rPr>
        <w:t xml:space="preserve">17:   Elif archetype == DIVE:</w:t>
      </w:r>
    </w:p>
    <w:p>
      <w:pPr>
        <w:spacing w:before="20" w:after="20"/>
        <w:ind w:left="720"/>
      </w:pPr>
      <w:r>
        <w:rPr>
          <w:rFonts w:ascii="Courier New" w:cs="Courier New" w:eastAsia="Courier New" w:hAnsi="Courier New"/>
          <w:sz w:val="18"/>
          <w:szCs w:val="18"/>
        </w:rPr>
        <w:t xml:space="preserve">18:     impact ← dive_project(pos_failure, wind_i)</w:t>
      </w:r>
    </w:p>
    <w:p>
      <w:pPr>
        <w:spacing w:before="20" w:after="20"/>
        <w:ind w:left="720"/>
      </w:pPr>
      <w:r>
        <w:rPr>
          <w:rFonts w:ascii="Courier New" w:cs="Courier New" w:eastAsia="Courier New" w:hAnsi="Courier New"/>
          <w:sz w:val="18"/>
          <w:szCs w:val="18"/>
        </w:rPr>
        <w:t xml:space="preserve">19:   Elif archetype == BREAKUP:</w:t>
      </w:r>
    </w:p>
    <w:p>
      <w:pPr>
        <w:spacing w:before="20" w:after="20"/>
        <w:ind w:left="720"/>
      </w:pPr>
      <w:r>
        <w:rPr>
          <w:rFonts w:ascii="Courier New" w:cs="Courier New" w:eastAsia="Courier New" w:hAnsi="Courier New"/>
          <w:sz w:val="18"/>
          <w:szCs w:val="18"/>
        </w:rPr>
        <w:t xml:space="preserve">20:     impact ← scatter_project(pos_failure, alt_failure)</w:t>
      </w:r>
    </w:p>
    <w:p>
      <w:pPr>
        <w:spacing w:before="20" w:after="20"/>
        <w:ind w:left="720"/>
      </w:pPr>
      <w:r>
        <w:rPr>
          <w:rFonts w:ascii="Courier New" w:cs="Courier New" w:eastAsia="Courier New" w:hAnsi="Courier New"/>
          <w:sz w:val="18"/>
          <w:szCs w:val="18"/>
        </w:rPr>
        <w:t xml:space="preserve">21:   Apply multi_layer_wind_drift(impact, wind_layers)</w:t>
      </w:r>
    </w:p>
    <w:p>
      <w:pPr>
        <w:spacing w:before="20" w:after="20"/>
        <w:ind w:left="720"/>
      </w:pPr>
      <w:r>
        <w:rPr>
          <w:rFonts w:ascii="Courier New" w:cs="Courier New" w:eastAsia="Courier New" w:hAnsi="Courier New"/>
          <w:sz w:val="18"/>
          <w:szCs w:val="18"/>
        </w:rPr>
        <w:t xml:space="preserve">22:   Append impact to impact_points</w:t>
      </w:r>
    </w:p>
    <w:p>
      <w:pPr>
        <w:spacing w:before="20" w:after="20"/>
        <w:ind w:left="720"/>
      </w:pPr>
      <w:r>
        <w:rPr>
          <w:rFonts w:ascii="Courier New" w:cs="Courier New" w:eastAsia="Courier New" w:hAnsi="Courier New"/>
          <w:sz w:val="18"/>
          <w:szCs w:val="18"/>
        </w:rPr>
        <w:t xml:space="preserve">23: End For</w:t>
      </w:r>
    </w:p>
    <w:p>
      <w:pPr>
        <w:spacing w:before="20" w:after="20"/>
        <w:ind w:left="720"/>
      </w:pPr>
      <w:r>
        <w:rPr>
          <w:rFonts w:ascii="Courier New" w:cs="Courier New" w:eastAsia="Courier New" w:hAnsi="Courier New"/>
          <w:sz w:val="18"/>
          <w:szCs w:val="18"/>
        </w:rPr>
        <w:t xml:space="preserve">24: Return impact_points</w:t>
      </w:r>
    </w:p>
    <w:p>
      <w:pPr>
        <w:spacing w:before="80" w:after="0"/>
      </w:pPr>
      <w:r>
        <w:t xml:space="preserve"/>
      </w:r>
    </w:p>
    <w:p>
      <w:pPr>
        <w:pStyle w:val="Heading2"/>
        <w:spacing w:before="200" w:after="80"/>
      </w:pPr>
      <w:r>
        <w:rPr>
          <w:rFonts w:ascii="Times New Roman" w:cs="Times New Roman" w:eastAsia="Times New Roman" w:hAnsi="Times New Roman"/>
          <w:b/>
          <w:bCs/>
          <w:sz w:val="21"/>
          <w:szCs w:val="21"/>
        </w:rPr>
        <w:t xml:space="preserve">E. KDE-Based Probability Zone Classification</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Following Monte Carlo simulation, the n impact coordinate pairs constitute a two-dimensional point cloud that requires classification into operationally useful probability zones. Kernel Density Estimation (KDE) using scipy.stats.gaussian_kde provides a non-parametric density estimate over the point cloud without imposing parametric distributional assumptions.</w:t>
      </w:r>
    </w:p>
    <w:p>
      <w:pPr>
        <w:spacing w:before="0" w:after="40" w:line="276"/>
        <w:jc w:val="both"/>
      </w:pPr>
      <w:r>
        <w:rPr>
          <w:rFonts w:ascii="Times New Roman" w:cs="Times New Roman" w:eastAsia="Times New Roman" w:hAnsi="Times New Roman"/>
          <w:b w:val="false"/>
          <w:bCs w:val="false"/>
          <w:i w:val="false"/>
          <w:iCs w:val="false"/>
          <w:sz w:val="20"/>
          <w:szCs w:val="20"/>
        </w:rPr>
        <w:t xml:space="preserve">For a set of n impact points {x_i}, the KDE-estimated density at a query point x is:</w:t>
      </w:r>
    </w:p>
    <w:p>
      <w:pPr>
        <w:spacing w:before="80" w:after="80"/>
        <w:jc w:val="center"/>
      </w:pPr>
      <w:r>
        <w:rPr>
          <w:rFonts w:ascii="Courier New" w:cs="Courier New" w:eastAsia="Courier New" w:hAnsi="Courier New"/>
          <w:sz w:val="20"/>
          <w:szCs w:val="20"/>
        </w:rPr>
        <w:t xml:space="preserve">f̂(x) = (1/n) · Σᵢ K_H(x − xᵢ)</w:t>
      </w:r>
    </w:p>
    <w:p>
      <w:pPr>
        <w:spacing w:before="80" w:after="80"/>
        <w:jc w:val="center"/>
      </w:pPr>
      <w:r>
        <w:rPr>
          <w:rFonts w:ascii="Courier New" w:cs="Courier New" w:eastAsia="Courier New" w:hAnsi="Courier New"/>
          <w:sz w:val="20"/>
          <w:szCs w:val="20"/>
        </w:rPr>
        <w:t xml:space="preserve">K_H(u) = (2π)^(−d/2) · |H|^(−1/2) · exp(−u^T H^(−1) u / 2)</w:t>
      </w:r>
    </w:p>
    <w:p>
      <w:pPr>
        <w:spacing w:before="80" w:after="120" w:line="276"/>
        <w:jc w:val="both"/>
      </w:pPr>
      <w:r>
        <w:rPr>
          <w:rFonts w:ascii="Times New Roman" w:cs="Times New Roman" w:eastAsia="Times New Roman" w:hAnsi="Times New Roman"/>
          <w:b w:val="false"/>
          <w:bCs w:val="false"/>
          <w:i w:val="false"/>
          <w:iCs w:val="false"/>
          <w:sz w:val="20"/>
          <w:szCs w:val="20"/>
        </w:rPr>
        <w:t xml:space="preserve">where H is the bandwidth matrix estimated using Scott's rule, and d = 2 for two-dimensional geographic coordinates. Each impact point x_i is then assigned a density score f̂(x_i). Points are sorted by density and assigned to three probability zones: HIGH (densest top 33%), MEDIUM (next 33%), LOW (remaining 33%). If KDE fails due to degenerate point distributions (e.g., all points collinear), the system falls back to a distance-based percentile classification from the centroid.</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Convex hulls are computed for each zone using the Graham scan algorithm (O(n log n)) to produce zone boundary polygons rendered on the interactive map. The HIGH zone convex hull area is the primary metric reported for search area reduction quantification.</w:t>
      </w:r>
    </w:p>
    <w:p>
      <w:pPr>
        <w:pStyle w:val="Heading2"/>
        <w:spacing w:before="200" w:after="80"/>
      </w:pPr>
      <w:r>
        <w:rPr>
          <w:rFonts w:ascii="Times New Roman" w:cs="Times New Roman" w:eastAsia="Times New Roman" w:hAnsi="Times New Roman"/>
          <w:b/>
          <w:bCs/>
          <w:sz w:val="21"/>
          <w:szCs w:val="21"/>
        </w:rPr>
        <w:t xml:space="preserve">F. IAMSAR Search Pattern Selection</w:t>
      </w:r>
    </w:p>
    <w:p>
      <w:pPr>
        <w:spacing w:before="0" w:after="80" w:line="276"/>
        <w:jc w:val="both"/>
      </w:pPr>
      <w:r>
        <w:rPr>
          <w:rFonts w:ascii="Times New Roman" w:cs="Times New Roman" w:eastAsia="Times New Roman" w:hAnsi="Times New Roman"/>
          <w:b w:val="false"/>
          <w:bCs w:val="false"/>
          <w:i w:val="false"/>
          <w:iCs w:val="false"/>
          <w:sz w:val="20"/>
          <w:szCs w:val="20"/>
        </w:rPr>
        <w:t xml:space="preserve">Search pattern selection follows a rule-based recommendation engine parameterized by the HIGH probability zone area A (km²), the uncertainty ellipse eccentricity, and expected search asset capabilities. The selection logic is:</w:t>
      </w:r>
    </w:p>
    <w:p>
      <w:pPr>
        <w:spacing w:before="40" w:after="40"/>
        <w:ind w:left="720"/>
      </w:pPr>
      <w:r>
        <w:rPr>
          <w:rFonts w:ascii="Courier New" w:cs="Courier New" w:eastAsia="Courier New" w:hAnsi="Courier New"/>
          <w:sz w:val="20"/>
          <w:szCs w:val="20"/>
        </w:rPr>
        <w:t xml:space="preserve">A &lt; 25 km²          →  Sector Search or Expanding Square</w:t>
      </w:r>
    </w:p>
    <w:p>
      <w:pPr>
        <w:spacing w:before="40" w:after="40"/>
        <w:ind w:left="720"/>
      </w:pPr>
      <w:r>
        <w:rPr>
          <w:rFonts w:ascii="Courier New" w:cs="Courier New" w:eastAsia="Courier New" w:hAnsi="Courier New"/>
          <w:sz w:val="20"/>
          <w:szCs w:val="20"/>
        </w:rPr>
        <w:t xml:space="preserve">25 km² ≤ A &lt; 250 km² →  Creeping Line Ahead or Parallel Track</w:t>
      </w:r>
    </w:p>
    <w:p>
      <w:pPr>
        <w:spacing w:before="40" w:after="40"/>
        <w:ind w:left="720"/>
      </w:pPr>
      <w:r>
        <w:rPr>
          <w:rFonts w:ascii="Courier New" w:cs="Courier New" w:eastAsia="Courier New" w:hAnsi="Courier New"/>
          <w:sz w:val="20"/>
          <w:szCs w:val="20"/>
        </w:rPr>
        <w:t xml:space="preserve">A ≥ 250 km²         →  Parallel Track (large area grid)</w:t>
      </w:r>
    </w:p>
    <w:p>
      <w:pPr>
        <w:spacing w:before="80" w:after="0"/>
      </w:pPr>
      <w:r>
        <w:t xml:space="preserve"/>
      </w:r>
    </w:p>
    <w:p>
      <w:pPr>
        <w:spacing w:before="80" w:after="120" w:line="276"/>
        <w:jc w:val="both"/>
      </w:pPr>
      <w:r>
        <w:rPr>
          <w:rFonts w:ascii="Times New Roman" w:cs="Times New Roman" w:eastAsia="Times New Roman" w:hAnsi="Times New Roman"/>
          <w:b w:val="false"/>
          <w:bCs w:val="false"/>
          <w:i w:val="false"/>
          <w:iCs w:val="false"/>
          <w:sz w:val="20"/>
          <w:szCs w:val="20"/>
        </w:rPr>
        <w:t xml:space="preserve">Pattern waypoints are computed as latitude/longitude coordinate sequences and exported as numbered markers on the interactive map. Track spacing (S) for Parallel Track and Creeping Line Ahead patterns follows the IAMSAR formula S = W × POD_required, where W is the sweep width for the search platform and POD_required is the required probability of detection, typically 0.90 for primary search phases.</w:t>
      </w:r>
    </w:p>
    <w:p>
      <w:pPr>
        <w:pStyle w:val="Heading1"/>
        <w:spacing w:before="240" w:after="120"/>
      </w:pPr>
      <w:r>
        <w:rPr>
          <w:rFonts w:ascii="Arial" w:cs="Arial" w:eastAsia="Arial" w:hAnsi="Arial"/>
          <w:b/>
          <w:bCs/>
          <w:caps w:val="false"/>
          <w:sz w:val="22"/>
          <w:szCs w:val="22"/>
        </w:rPr>
        <w:t xml:space="preserve">V. IMPLEMENTATION</w:t>
      </w:r>
    </w:p>
    <w:p>
      <w:pPr>
        <w:pStyle w:val="Heading2"/>
        <w:spacing w:before="200" w:after="80"/>
      </w:pPr>
      <w:r>
        <w:rPr>
          <w:rFonts w:ascii="Times New Roman" w:cs="Times New Roman" w:eastAsia="Times New Roman" w:hAnsi="Times New Roman"/>
          <w:b/>
          <w:bCs/>
          <w:sz w:val="21"/>
          <w:szCs w:val="21"/>
        </w:rPr>
        <w:t xml:space="preserve">A. Aircraft Specification Database</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The aircraft specification database (aircraft_specs.json) encodes performance parameters for eleven aircraft types across four operational categories. Table I summarizes the aircraft types and key parameters relevant to glide and descent modeling.</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1200"/>
        <w:gridCol w:w="1000"/>
        <w:gridCol w:w="1160"/>
      </w:tblGrid>
      <w:tr>
        <w:tc>
          <w:tcPr>
            <w:tcW w:type="dxa" w:w="160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Aircraft Type</w:t>
            </w:r>
          </w:p>
        </w:tc>
        <w:tc>
          <w:tcPr>
            <w:tcW w:type="dxa" w:w="140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Category</w:t>
            </w:r>
          </w:p>
        </w:tc>
        <w:tc>
          <w:tcPr>
            <w:tcW w:type="dxa" w:w="100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Glide Ratio</w:t>
            </w:r>
          </w:p>
        </w:tc>
        <w:tc>
          <w:tcPr>
            <w:tcW w:type="dxa" w:w="120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Best Glide (kts)</w:t>
            </w:r>
          </w:p>
        </w:tc>
        <w:tc>
          <w:tcPr>
            <w:tcW w:type="dxa" w:w="100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Cruise (kts)</w:t>
            </w:r>
          </w:p>
        </w:tc>
        <w:tc>
          <w:tcPr>
            <w:tcW w:type="dxa" w:w="116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Descent Rate (fpm)</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Cessna 172S</w:t>
            </w:r>
          </w:p>
        </w:tc>
        <w:tc>
          <w:tcPr>
            <w:tcW w:type="dxa" w:w="14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General Aviation</w:t>
            </w:r>
          </w:p>
        </w:tc>
        <w:tc>
          <w:tcPr>
            <w:tcW w:type="dxa" w:w="10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9</w:t>
            </w:r>
          </w:p>
        </w:tc>
        <w:tc>
          <w:tcPr>
            <w:tcW w:type="dxa" w:w="12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65</w:t>
            </w:r>
          </w:p>
        </w:tc>
        <w:tc>
          <w:tcPr>
            <w:tcW w:type="dxa" w:w="10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122</w:t>
            </w:r>
          </w:p>
        </w:tc>
        <w:tc>
          <w:tcPr>
            <w:tcW w:type="dxa" w:w="11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500</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Cessna 182</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General Aviation</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10</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70</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145</w:t>
            </w:r>
          </w:p>
        </w:tc>
        <w:tc>
          <w:tcPr>
            <w:tcW w:type="dxa" w:w="11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600</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Piper PA-28-181</w:t>
            </w:r>
          </w:p>
        </w:tc>
        <w:tc>
          <w:tcPr>
            <w:tcW w:type="dxa" w:w="14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General Aviation</w:t>
            </w:r>
          </w:p>
        </w:tc>
        <w:tc>
          <w:tcPr>
            <w:tcW w:type="dxa" w:w="10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9</w:t>
            </w:r>
          </w:p>
        </w:tc>
        <w:tc>
          <w:tcPr>
            <w:tcW w:type="dxa" w:w="12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63</w:t>
            </w:r>
          </w:p>
        </w:tc>
        <w:tc>
          <w:tcPr>
            <w:tcW w:type="dxa" w:w="10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120</w:t>
            </w:r>
          </w:p>
        </w:tc>
        <w:tc>
          <w:tcPr>
            <w:tcW w:type="dxa" w:w="11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500</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Diamond DA40</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General Aviation</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11</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68</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152</w:t>
            </w:r>
          </w:p>
        </w:tc>
        <w:tc>
          <w:tcPr>
            <w:tcW w:type="dxa" w:w="11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550</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ATR 72-600</w:t>
            </w:r>
          </w:p>
        </w:tc>
        <w:tc>
          <w:tcPr>
            <w:tcW w:type="dxa" w:w="14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Turboprop</w:t>
            </w:r>
          </w:p>
        </w:tc>
        <w:tc>
          <w:tcPr>
            <w:tcW w:type="dxa" w:w="10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14</w:t>
            </w:r>
          </w:p>
        </w:tc>
        <w:tc>
          <w:tcPr>
            <w:tcW w:type="dxa" w:w="12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140</w:t>
            </w:r>
          </w:p>
        </w:tc>
        <w:tc>
          <w:tcPr>
            <w:tcW w:type="dxa" w:w="10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275</w:t>
            </w:r>
          </w:p>
        </w:tc>
        <w:tc>
          <w:tcPr>
            <w:tcW w:type="dxa" w:w="11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1500</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Dash 8 Q400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Turboprop</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14</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145</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360</w:t>
            </w:r>
          </w:p>
        </w:tc>
        <w:tc>
          <w:tcPr>
            <w:tcW w:type="dxa" w:w="11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1500</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Airbus A320-200</w:t>
            </w:r>
          </w:p>
        </w:tc>
        <w:tc>
          <w:tcPr>
            <w:tcW w:type="dxa" w:w="14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Narrow-body Jet</w:t>
            </w:r>
          </w:p>
        </w:tc>
        <w:tc>
          <w:tcPr>
            <w:tcW w:type="dxa" w:w="10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17</w:t>
            </w:r>
          </w:p>
        </w:tc>
        <w:tc>
          <w:tcPr>
            <w:tcW w:type="dxa" w:w="12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200</w:t>
            </w:r>
          </w:p>
        </w:tc>
        <w:tc>
          <w:tcPr>
            <w:tcW w:type="dxa" w:w="10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447</w:t>
            </w:r>
          </w:p>
        </w:tc>
        <w:tc>
          <w:tcPr>
            <w:tcW w:type="dxa" w:w="11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2500</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Boeing 737-800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Narrow-body Jet</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17</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195</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453</w:t>
            </w:r>
          </w:p>
        </w:tc>
        <w:tc>
          <w:tcPr>
            <w:tcW w:type="dxa" w:w="11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2500</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Boeing 777-200ER</w:t>
            </w:r>
          </w:p>
        </w:tc>
        <w:tc>
          <w:tcPr>
            <w:tcW w:type="dxa" w:w="14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Wide-body</w:t>
            </w:r>
          </w:p>
        </w:tc>
        <w:tc>
          <w:tcPr>
            <w:tcW w:type="dxa" w:w="10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18</w:t>
            </w:r>
          </w:p>
        </w:tc>
        <w:tc>
          <w:tcPr>
            <w:tcW w:type="dxa" w:w="12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225</w:t>
            </w:r>
          </w:p>
        </w:tc>
        <w:tc>
          <w:tcPr>
            <w:tcW w:type="dxa" w:w="10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490</w:t>
            </w:r>
          </w:p>
        </w:tc>
        <w:tc>
          <w:tcPr>
            <w:tcW w:type="dxa" w:w="11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3000</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Airbus A350-900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Wide-body</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18</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230</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488</w:t>
            </w:r>
          </w:p>
        </w:tc>
        <w:tc>
          <w:tcPr>
            <w:tcW w:type="dxa" w:w="11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3000</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Airbus A330-300</w:t>
            </w:r>
          </w:p>
        </w:tc>
        <w:tc>
          <w:tcPr>
            <w:tcW w:type="dxa" w:w="14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Wide-body</w:t>
            </w:r>
          </w:p>
        </w:tc>
        <w:tc>
          <w:tcPr>
            <w:tcW w:type="dxa" w:w="10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18</w:t>
            </w:r>
          </w:p>
        </w:tc>
        <w:tc>
          <w:tcPr>
            <w:tcW w:type="dxa" w:w="12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215</w:t>
            </w:r>
          </w:p>
        </w:tc>
        <w:tc>
          <w:tcPr>
            <w:tcW w:type="dxa" w:w="10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476</w:t>
            </w:r>
          </w:p>
        </w:tc>
        <w:tc>
          <w:tcPr>
            <w:tcW w:type="dxa" w:w="11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3000</w:t>
            </w:r>
          </w:p>
        </w:tc>
      </w:tr>
    </w:tbl>
    <w:p>
      <w:pPr>
        <w:spacing w:before="60" w:after="180"/>
        <w:jc w:val="center"/>
      </w:pPr>
      <w:r>
        <w:rPr>
          <w:rFonts w:ascii="Times New Roman" w:cs="Times New Roman" w:eastAsia="Times New Roman" w:hAnsi="Times New Roman"/>
          <w:b/>
          <w:bCs/>
          <w:i/>
          <w:iCs/>
          <w:sz w:val="18"/>
          <w:szCs w:val="18"/>
        </w:rPr>
        <w:t xml:space="preserve">Table I. Aircraft Specification Database Summary (11 Aircraft, 4 Categories)</w:t>
      </w:r>
    </w:p>
    <w:p>
      <w:pPr>
        <w:pStyle w:val="Heading2"/>
        <w:spacing w:before="200" w:after="80"/>
      </w:pPr>
      <w:r>
        <w:rPr>
          <w:rFonts w:ascii="Times New Roman" w:cs="Times New Roman" w:eastAsia="Times New Roman" w:hAnsi="Times New Roman"/>
          <w:b/>
          <w:bCs/>
          <w:sz w:val="21"/>
          <w:szCs w:val="21"/>
        </w:rPr>
        <w:t xml:space="preserve">B. Real-Time Weather Integration</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The weather integration module queries the Open-Meteo API for current wind speed and direction at eight standard pressure levels: 1000, 925, 850, 700, 500, 300, 250, and 200 hPa, corresponding to ISA standard altitudes of approximately 110 m, 800 m, 1,500 m, 3,000 m, 5,600 m, 9,200 m, 10,400 m, and 11,800 m respectively. The GFS model underlying Open-Meteo provides forecast data at 0.25° horizontal resolution with three-hour temporal resolution.</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API responses are parsed into WindProfile objects containing altitude-indexed wind speed and direction arrays. For offline operation or when the incident coordinates fall outside GFS coverage, the system maintains hardcoded historical wind profiles for validation purposes, including profiles derived from meteorological reconstructions of the AF447 and Germanwings 9525 events. A fallback mechanism constructs a simple WindProfile from a single surface observation using a standard atmospheric model with Ekman veering applied at 5° per 1,000 ft altitude gain.</w:t>
      </w:r>
    </w:p>
    <w:p>
      <w:pPr>
        <w:pStyle w:val="Heading2"/>
        <w:spacing w:before="200" w:after="80"/>
      </w:pPr>
      <w:r>
        <w:rPr>
          <w:rFonts w:ascii="Times New Roman" w:cs="Times New Roman" w:eastAsia="Times New Roman" w:hAnsi="Times New Roman"/>
          <w:b/>
          <w:bCs/>
          <w:sz w:val="21"/>
          <w:szCs w:val="21"/>
        </w:rPr>
        <w:t xml:space="preserve">C. Visualization Architecture</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The visualization module renders simulation outputs as interactive HTML maps using the Folium library. A CartoDB Dark Matter base layer provides high-contrast cartographic background suitable for aviation operational use. The probability heatmap layer uses Folium's HeatMap plugin with radius = 15 and blur = 25, configured to represent density scaled to the 95th percentile of point density to prevent outlier-driven color saturation.</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Convex hull zone polygons are rendered with color coding: HIGH zone in red (opacity 0.6), MEDIUM in orange (opacity 0.4), LOW in yellow (opacity 0.25). The last known position is marked with an aircraft icon. Search pattern waypoints are rendered as numbered circular markers connected by a dashed polyline indicating the recommended search track. Glide range circles are overlaid at 50%, 75%, and 100% of the estimated maximum glide range.</w:t>
      </w:r>
    </w:p>
    <w:p>
      <w:pPr>
        <w:pStyle w:val="Heading1"/>
        <w:spacing w:before="240" w:after="120"/>
      </w:pPr>
      <w:r>
        <w:rPr>
          <w:rFonts w:ascii="Arial" w:cs="Arial" w:eastAsia="Arial" w:hAnsi="Arial"/>
          <w:b/>
          <w:bCs/>
          <w:caps w:val="false"/>
          <w:sz w:val="22"/>
          <w:szCs w:val="22"/>
        </w:rPr>
        <w:t xml:space="preserve">VI. EXPERIMENTAL RESULTS AND VALIDATION</w:t>
      </w:r>
    </w:p>
    <w:p>
      <w:pPr>
        <w:pStyle w:val="Heading2"/>
        <w:spacing w:before="200" w:after="80"/>
      </w:pPr>
      <w:r>
        <w:rPr>
          <w:rFonts w:ascii="Times New Roman" w:cs="Times New Roman" w:eastAsia="Times New Roman" w:hAnsi="Times New Roman"/>
          <w:b/>
          <w:bCs/>
          <w:sz w:val="21"/>
          <w:szCs w:val="21"/>
        </w:rPr>
        <w:t xml:space="preserve">A. Monte Carlo Convergence Analysis</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Convergence analysis was conducted by executing the simulation at iteration counts from 100 to 3,000, measuring four stability metrics at each count: centroid latitude/longitude (for drift), mean radius from centroid, R90 radius (90th percentile distance from centroid), and inter-level delta (percentage change in HIGH zone area between successive runs at the same iteration count). Table II presents the convergence results for a representative test scenario (Airbus A320-200, altitude 35,000 ft, heading 090°, airspeed 447 kts, standard ISA wind profile).</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400"/>
        <w:gridCol w:w="1400"/>
        <w:gridCol w:w="1860"/>
      </w:tblGrid>
      <w:tr>
        <w:tc>
          <w:tcPr>
            <w:tcW w:type="dxa" w:w="130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Iterations (n)</w:t>
            </w:r>
          </w:p>
        </w:tc>
        <w:tc>
          <w:tcPr>
            <w:tcW w:type="dxa" w:w="140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Centroid Drift (km)</w:t>
            </w:r>
          </w:p>
        </w:tc>
        <w:tc>
          <w:tcPr>
            <w:tcW w:type="dxa" w:w="140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Mean Radius (km)</w:t>
            </w:r>
          </w:p>
        </w:tc>
        <w:tc>
          <w:tcPr>
            <w:tcW w:type="dxa" w:w="140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R90 Radius (km)</w:t>
            </w:r>
          </w:p>
        </w:tc>
        <w:tc>
          <w:tcPr>
            <w:tcW w:type="dxa" w:w="186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Inter-Run Delta (%)</w:t>
            </w:r>
          </w:p>
        </w:tc>
      </w:tr>
      <w:tr>
        <w:tc>
          <w:tcPr>
            <w:tcW w:type="dxa" w:w="13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100</w:t>
            </w:r>
          </w:p>
        </w:tc>
        <w:tc>
          <w:tcPr>
            <w:tcW w:type="dxa" w:w="14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8.4</w:t>
            </w:r>
          </w:p>
        </w:tc>
        <w:tc>
          <w:tcPr>
            <w:tcW w:type="dxa" w:w="14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31.2</w:t>
            </w:r>
          </w:p>
        </w:tc>
        <w:tc>
          <w:tcPr>
            <w:tcW w:type="dxa" w:w="14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58.7</w:t>
            </w:r>
          </w:p>
        </w:tc>
        <w:tc>
          <w:tcPr>
            <w:tcW w:type="dxa" w:w="18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12.3</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5.1</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29.8</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55.4</w:t>
            </w:r>
          </w:p>
        </w:tc>
        <w:tc>
          <w:tcPr>
            <w:tcW w:type="dxa" w:w="18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8.7</w:t>
            </w:r>
          </w:p>
        </w:tc>
      </w:tr>
      <w:tr>
        <w:tc>
          <w:tcPr>
            <w:tcW w:type="dxa" w:w="13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500</w:t>
            </w:r>
          </w:p>
        </w:tc>
        <w:tc>
          <w:tcPr>
            <w:tcW w:type="dxa" w:w="14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2.3</w:t>
            </w:r>
          </w:p>
        </w:tc>
        <w:tc>
          <w:tcPr>
            <w:tcW w:type="dxa" w:w="14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28.9</w:t>
            </w:r>
          </w:p>
        </w:tc>
        <w:tc>
          <w:tcPr>
            <w:tcW w:type="dxa" w:w="14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53.1</w:t>
            </w:r>
          </w:p>
        </w:tc>
        <w:tc>
          <w:tcPr>
            <w:tcW w:type="dxa" w:w="18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4.2</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800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1.8</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28.5</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52.6</w:t>
            </w:r>
          </w:p>
        </w:tc>
        <w:tc>
          <w:tcPr>
            <w:tcW w:type="dxa" w:w="18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3.1</w:t>
            </w:r>
          </w:p>
        </w:tc>
      </w:tr>
      <w:tr>
        <w:tc>
          <w:tcPr>
            <w:tcW w:type="dxa" w:w="13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1,000</w:t>
            </w:r>
          </w:p>
        </w:tc>
        <w:tc>
          <w:tcPr>
            <w:tcW w:type="dxa" w:w="14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1.4</w:t>
            </w:r>
          </w:p>
        </w:tc>
        <w:tc>
          <w:tcPr>
            <w:tcW w:type="dxa" w:w="14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28.3</w:t>
            </w:r>
          </w:p>
        </w:tc>
        <w:tc>
          <w:tcPr>
            <w:tcW w:type="dxa" w:w="14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52.2</w:t>
            </w:r>
          </w:p>
        </w:tc>
        <w:tc>
          <w:tcPr>
            <w:tcW w:type="dxa" w:w="18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2.4</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1,200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1.1</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28.2</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52.0</w:t>
            </w:r>
          </w:p>
        </w:tc>
        <w:tc>
          <w:tcPr>
            <w:tcW w:type="dxa" w:w="18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1.8</w:t>
            </w:r>
          </w:p>
        </w:tc>
      </w:tr>
      <w:tr>
        <w:tc>
          <w:tcPr>
            <w:tcW w:type="dxa" w:w="13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1,500</w:t>
            </w:r>
          </w:p>
        </w:tc>
        <w:tc>
          <w:tcPr>
            <w:tcW w:type="dxa" w:w="14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0.9</w:t>
            </w:r>
          </w:p>
        </w:tc>
        <w:tc>
          <w:tcPr>
            <w:tcW w:type="dxa" w:w="14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28.1</w:t>
            </w:r>
          </w:p>
        </w:tc>
        <w:tc>
          <w:tcPr>
            <w:tcW w:type="dxa" w:w="14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51.9</w:t>
            </w:r>
          </w:p>
        </w:tc>
        <w:tc>
          <w:tcPr>
            <w:tcW w:type="dxa" w:w="18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1.5</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2,000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0.7</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28.1</w:t>
            </w:r>
          </w:p>
        </w:tc>
        <w:tc>
          <w:tcPr>
            <w:tcW w:type="dxa" w:w="14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51.8</w:t>
            </w:r>
          </w:p>
        </w:tc>
        <w:tc>
          <w:tcPr>
            <w:tcW w:type="dxa" w:w="18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1.2</w:t>
            </w:r>
          </w:p>
        </w:tc>
      </w:tr>
      <w:tr>
        <w:tc>
          <w:tcPr>
            <w:tcW w:type="dxa" w:w="13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3,000</w:t>
            </w:r>
          </w:p>
        </w:tc>
        <w:tc>
          <w:tcPr>
            <w:tcW w:type="dxa" w:w="14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0.5</w:t>
            </w:r>
          </w:p>
        </w:tc>
        <w:tc>
          <w:tcPr>
            <w:tcW w:type="dxa" w:w="14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28.0</w:t>
            </w:r>
          </w:p>
        </w:tc>
        <w:tc>
          <w:tcPr>
            <w:tcW w:type="dxa" w:w="14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51.7</w:t>
            </w:r>
          </w:p>
        </w:tc>
        <w:tc>
          <w:tcPr>
            <w:tcW w:type="dxa" w:w="18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0.9</w:t>
            </w:r>
          </w:p>
        </w:tc>
      </w:tr>
    </w:tbl>
    <w:p>
      <w:pPr>
        <w:spacing w:before="60" w:after="180"/>
        <w:jc w:val="center"/>
      </w:pPr>
      <w:r>
        <w:rPr>
          <w:rFonts w:ascii="Times New Roman" w:cs="Times New Roman" w:eastAsia="Times New Roman" w:hAnsi="Times New Roman"/>
          <w:b/>
          <w:bCs/>
          <w:i/>
          <w:iCs/>
          <w:sz w:val="18"/>
          <w:szCs w:val="18"/>
        </w:rPr>
        <w:t xml:space="preserve">Table II. Monte Carlo Convergence Analysis Results (A320-200, Nominal Conditions)</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The analysis confirms that convergence (inter-run delta &lt; 2%) is achieved at approximately 1,200 iterations, corresponding to a computation time of 4.2 seconds on a standard consumer laptop (Intel Core i5-12th Gen, 16 GB RAM). Beyond 1,200 iterations, marginal improvements in stability (delta 1.5% at 1,500 iterations versus 1.8% at 1,200) are outweighed by proportional increases in computation time. The default iteration count of 1,200 is therefore set as the operational default, with 5,000 iterations available for high-precision analysis contexts.</w:t>
      </w:r>
    </w:p>
    <w:p>
      <w:pPr>
        <w:pStyle w:val="Heading2"/>
        <w:spacing w:before="200" w:after="80"/>
      </w:pPr>
      <w:r>
        <w:rPr>
          <w:rFonts w:ascii="Times New Roman" w:cs="Times New Roman" w:eastAsia="Times New Roman" w:hAnsi="Times New Roman"/>
          <w:b/>
          <w:bCs/>
          <w:sz w:val="21"/>
          <w:szCs w:val="21"/>
        </w:rPr>
        <w:t xml:space="preserve">B. Sensitivity Analysis</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Sensitivity analysis quantifies how perturbations in input parameters propagate to uncertainty in impact location prediction. Parameters were perturbed individually from their nominal values while others were held constant. Table III presents the results.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440"/>
        <w:gridCol w:w="1200"/>
        <w:gridCol w:w="1560"/>
        <w:gridCol w:w="1560"/>
        <w:gridCol w:w="1600"/>
      </w:tblGrid>
      <w:tr>
        <w:tc>
          <w:tcPr>
            <w:tcW w:type="dxa" w:w="144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Parameter</w:t>
            </w:r>
          </w:p>
        </w:tc>
        <w:tc>
          <w:tcPr>
            <w:tcW w:type="dxa" w:w="120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Perturbation</w:t>
            </w:r>
          </w:p>
        </w:tc>
        <w:tc>
          <w:tcPr>
            <w:tcW w:type="dxa" w:w="156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Centroid Shift (km)</w:t>
            </w:r>
          </w:p>
        </w:tc>
        <w:tc>
          <w:tcPr>
            <w:tcW w:type="dxa" w:w="156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Mean Radius Δ (%)</w:t>
            </w:r>
          </w:p>
        </w:tc>
        <w:tc>
          <w:tcPr>
            <w:tcW w:type="dxa" w:w="160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R90 Δ (%)</w:t>
            </w:r>
          </w:p>
        </w:tc>
      </w:tr>
      <w:tr>
        <w:tc>
          <w:tcPr>
            <w:tcW w:type="dxa" w:w="144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Heading</w:t>
            </w:r>
          </w:p>
        </w:tc>
        <w:tc>
          <w:tcPr>
            <w:tcW w:type="dxa" w:w="12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±15°</w:t>
            </w:r>
          </w:p>
        </w:tc>
        <w:tc>
          <w:tcPr>
            <w:tcW w:type="dxa" w:w="15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18.3</w:t>
            </w:r>
          </w:p>
        </w:tc>
        <w:tc>
          <w:tcPr>
            <w:tcW w:type="dxa" w:w="15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+12.4</w:t>
            </w:r>
          </w:p>
        </w:tc>
        <w:tc>
          <w:tcPr>
            <w:tcW w:type="dxa" w:w="16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+14.1</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Heading</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±30°</w:t>
            </w:r>
          </w:p>
        </w:tc>
        <w:tc>
          <w:tcPr>
            <w:tcW w:type="dxa" w:w="15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34.6</w:t>
            </w:r>
          </w:p>
        </w:tc>
        <w:tc>
          <w:tcPr>
            <w:tcW w:type="dxa" w:w="15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+28.7</w:t>
            </w:r>
          </w:p>
        </w:tc>
        <w:tc>
          <w:tcPr>
            <w:tcW w:type="dxa" w:w="1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+31.2</w:t>
            </w:r>
          </w:p>
        </w:tc>
      </w:tr>
      <w:tr>
        <w:tc>
          <w:tcPr>
            <w:tcW w:type="dxa" w:w="144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Airspeed</w:t>
            </w:r>
          </w:p>
        </w:tc>
        <w:tc>
          <w:tcPr>
            <w:tcW w:type="dxa" w:w="12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±25 kts</w:t>
            </w:r>
          </w:p>
        </w:tc>
        <w:tc>
          <w:tcPr>
            <w:tcW w:type="dxa" w:w="15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9.7</w:t>
            </w:r>
          </w:p>
        </w:tc>
        <w:tc>
          <w:tcPr>
            <w:tcW w:type="dxa" w:w="15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+6.8</w:t>
            </w:r>
          </w:p>
        </w:tc>
        <w:tc>
          <w:tcPr>
            <w:tcW w:type="dxa" w:w="16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+7.3</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Airspeed</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±50 kts</w:t>
            </w:r>
          </w:p>
        </w:tc>
        <w:tc>
          <w:tcPr>
            <w:tcW w:type="dxa" w:w="15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18.2</w:t>
            </w:r>
          </w:p>
        </w:tc>
        <w:tc>
          <w:tcPr>
            <w:tcW w:type="dxa" w:w="15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+14.1</w:t>
            </w:r>
          </w:p>
        </w:tc>
        <w:tc>
          <w:tcPr>
            <w:tcW w:type="dxa" w:w="1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+15.6</w:t>
            </w:r>
          </w:p>
        </w:tc>
      </w:tr>
      <w:tr>
        <w:tc>
          <w:tcPr>
            <w:tcW w:type="dxa" w:w="144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Wind Speed</w:t>
            </w:r>
          </w:p>
        </w:tc>
        <w:tc>
          <w:tcPr>
            <w:tcW w:type="dxa" w:w="12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±10 kts</w:t>
            </w:r>
          </w:p>
        </w:tc>
        <w:tc>
          <w:tcPr>
            <w:tcW w:type="dxa" w:w="15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12.1</w:t>
            </w:r>
          </w:p>
        </w:tc>
        <w:tc>
          <w:tcPr>
            <w:tcW w:type="dxa" w:w="15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+8.3</w:t>
            </w:r>
          </w:p>
        </w:tc>
        <w:tc>
          <w:tcPr>
            <w:tcW w:type="dxa" w:w="16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+9.2</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Wind Speed</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±20 kts</w:t>
            </w:r>
          </w:p>
        </w:tc>
        <w:tc>
          <w:tcPr>
            <w:tcW w:type="dxa" w:w="15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23.4</w:t>
            </w:r>
          </w:p>
        </w:tc>
        <w:tc>
          <w:tcPr>
            <w:tcW w:type="dxa" w:w="15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+17.6</w:t>
            </w:r>
          </w:p>
        </w:tc>
        <w:tc>
          <w:tcPr>
            <w:tcW w:type="dxa" w:w="1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+19.1</w:t>
            </w:r>
          </w:p>
        </w:tc>
      </w:tr>
      <w:tr>
        <w:tc>
          <w:tcPr>
            <w:tcW w:type="dxa" w:w="144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Altitude</w:t>
            </w:r>
          </w:p>
        </w:tc>
        <w:tc>
          <w:tcPr>
            <w:tcW w:type="dxa" w:w="12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±2,000 ft</w:t>
            </w:r>
          </w:p>
        </w:tc>
        <w:tc>
          <w:tcPr>
            <w:tcW w:type="dxa" w:w="15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7.4</w:t>
            </w:r>
          </w:p>
        </w:tc>
        <w:tc>
          <w:tcPr>
            <w:tcW w:type="dxa" w:w="15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+5.1</w:t>
            </w:r>
          </w:p>
        </w:tc>
        <w:tc>
          <w:tcPr>
            <w:tcW w:type="dxa" w:w="16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+5.7</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Altitude</w:t>
            </w:r>
          </w:p>
        </w:tc>
        <w:tc>
          <w:tcPr>
            <w:tcW w:type="dxa" w:w="12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±5,000 ft</w:t>
            </w:r>
          </w:p>
        </w:tc>
        <w:tc>
          <w:tcPr>
            <w:tcW w:type="dxa" w:w="15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17.8</w:t>
            </w:r>
          </w:p>
        </w:tc>
        <w:tc>
          <w:tcPr>
            <w:tcW w:type="dxa" w:w="15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+12.9</w:t>
            </w:r>
          </w:p>
        </w:tc>
        <w:tc>
          <w:tcPr>
            <w:tcW w:type="dxa" w:w="1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+14.4</w:t>
            </w:r>
          </w:p>
        </w:tc>
      </w:tr>
    </w:tbl>
    <w:p>
      <w:pPr>
        <w:spacing w:before="60" w:after="180"/>
        <w:jc w:val="center"/>
      </w:pPr>
      <w:r>
        <w:rPr>
          <w:rFonts w:ascii="Times New Roman" w:cs="Times New Roman" w:eastAsia="Times New Roman" w:hAnsi="Times New Roman"/>
          <w:b/>
          <w:bCs/>
          <w:i/>
          <w:iCs/>
          <w:sz w:val="18"/>
          <w:szCs w:val="18"/>
        </w:rPr>
        <w:t xml:space="preserve">Table III. Sensitivity Analysis: Input Parameter Perturbation Effects on Crash Site Prediction</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Heading uncertainty has the largest absolute centroid influence, consistent with the circular nature of directional uncertainty propagation. Wind speed uncertainty has the second-largest effect, underscoring the critical role of real-time meteorological data quality. These findings align with operational SAR guidance that priority meteorological information includes wind direction and speed at the aircraft's operating altitude band.</w:t>
      </w:r>
    </w:p>
    <w:p>
      <w:pPr>
        <w:pStyle w:val="Heading2"/>
        <w:spacing w:before="200" w:after="80"/>
      </w:pPr>
      <w:r>
        <w:rPr>
          <w:rFonts w:ascii="Times New Roman" w:cs="Times New Roman" w:eastAsia="Times New Roman" w:hAnsi="Times New Roman"/>
          <w:b/>
          <w:bCs/>
          <w:sz w:val="21"/>
          <w:szCs w:val="21"/>
        </w:rPr>
        <w:t xml:space="preserve">C. Glide Range Accuracy</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Glide range predictions were compared against manufacturer-published performance data for four aircraft types at standard conditions (ISA, calm wind, best glide speed, maximum certificated altitude). Table IV presents the comparison.</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440"/>
        <w:gridCol w:w="1000"/>
        <w:gridCol w:w="1680"/>
        <w:gridCol w:w="1680"/>
        <w:gridCol w:w="1560"/>
      </w:tblGrid>
      <w:tr>
        <w:tc>
          <w:tcPr>
            <w:tcW w:type="dxa" w:w="144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Aircraft</w:t>
            </w:r>
          </w:p>
        </w:tc>
        <w:tc>
          <w:tcPr>
            <w:tcW w:type="dxa" w:w="100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Altitude (ft)</w:t>
            </w:r>
          </w:p>
        </w:tc>
        <w:tc>
          <w:tcPr>
            <w:tcW w:type="dxa" w:w="168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Manufacturer Range (km)</w:t>
            </w:r>
          </w:p>
        </w:tc>
        <w:tc>
          <w:tcPr>
            <w:tcW w:type="dxa" w:w="168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ASRIS Prediction (km)</w:t>
            </w:r>
          </w:p>
        </w:tc>
        <w:tc>
          <w:tcPr>
            <w:tcW w:type="dxa" w:w="156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Error (%)</w:t>
            </w:r>
          </w:p>
        </w:tc>
      </w:tr>
      <w:tr>
        <w:tc>
          <w:tcPr>
            <w:tcW w:type="dxa" w:w="144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Cessna 172S</w:t>
            </w:r>
          </w:p>
        </w:tc>
        <w:tc>
          <w:tcPr>
            <w:tcW w:type="dxa" w:w="10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10,000</w:t>
            </w:r>
          </w:p>
        </w:tc>
        <w:tc>
          <w:tcPr>
            <w:tcW w:type="dxa" w:w="168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27.4</w:t>
            </w:r>
          </w:p>
        </w:tc>
        <w:tc>
          <w:tcPr>
            <w:tcW w:type="dxa" w:w="168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27.8</w:t>
            </w:r>
          </w:p>
        </w:tc>
        <w:tc>
          <w:tcPr>
            <w:tcW w:type="dxa" w:w="15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1.5</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Piper PA-28-181</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8,500</w:t>
            </w:r>
          </w:p>
        </w:tc>
        <w:tc>
          <w:tcPr>
            <w:tcW w:type="dxa" w:w="168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22.1</w:t>
            </w:r>
          </w:p>
        </w:tc>
        <w:tc>
          <w:tcPr>
            <w:tcW w:type="dxa" w:w="168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22.6</w:t>
            </w:r>
          </w:p>
        </w:tc>
        <w:tc>
          <w:tcPr>
            <w:tcW w:type="dxa" w:w="15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2.3</w:t>
            </w:r>
          </w:p>
        </w:tc>
      </w:tr>
      <w:tr>
        <w:tc>
          <w:tcPr>
            <w:tcW w:type="dxa" w:w="144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Diamond DA40</w:t>
            </w:r>
          </w:p>
        </w:tc>
        <w:tc>
          <w:tcPr>
            <w:tcW w:type="dxa" w:w="10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10,000</w:t>
            </w:r>
          </w:p>
        </w:tc>
        <w:tc>
          <w:tcPr>
            <w:tcW w:type="dxa" w:w="168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30.2</w:t>
            </w:r>
          </w:p>
        </w:tc>
        <w:tc>
          <w:tcPr>
            <w:tcW w:type="dxa" w:w="168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30.9</w:t>
            </w:r>
          </w:p>
        </w:tc>
        <w:tc>
          <w:tcPr>
            <w:tcW w:type="dxa" w:w="15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2.3</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Airbus A320-200</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35,000</w:t>
            </w:r>
          </w:p>
        </w:tc>
        <w:tc>
          <w:tcPr>
            <w:tcW w:type="dxa" w:w="168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189.6</w:t>
            </w:r>
          </w:p>
        </w:tc>
        <w:tc>
          <w:tcPr>
            <w:tcW w:type="dxa" w:w="168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195.4</w:t>
            </w:r>
          </w:p>
        </w:tc>
        <w:tc>
          <w:tcPr>
            <w:tcW w:type="dxa" w:w="15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3.1</w:t>
            </w:r>
          </w:p>
        </w:tc>
      </w:tr>
      <w:tr>
        <w:tc>
          <w:tcPr>
            <w:tcW w:type="dxa" w:w="144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Boeing 737-800</w:t>
            </w:r>
          </w:p>
        </w:tc>
        <w:tc>
          <w:tcPr>
            <w:tcW w:type="dxa" w:w="10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41,000</w:t>
            </w:r>
          </w:p>
        </w:tc>
        <w:tc>
          <w:tcPr>
            <w:tcW w:type="dxa" w:w="168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224.3</w:t>
            </w:r>
          </w:p>
        </w:tc>
        <w:tc>
          <w:tcPr>
            <w:tcW w:type="dxa" w:w="168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231.2</w:t>
            </w:r>
          </w:p>
        </w:tc>
        <w:tc>
          <w:tcPr>
            <w:tcW w:type="dxa" w:w="15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3.1</w:t>
            </w:r>
          </w:p>
        </w:tc>
      </w:tr>
      <w:tr>
        <w:tc>
          <w:tcPr>
            <w:tcW w:type="dxa" w:w="144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Boeing 777-200ER</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43,000</w:t>
            </w:r>
          </w:p>
        </w:tc>
        <w:tc>
          <w:tcPr>
            <w:tcW w:type="dxa" w:w="168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268.7</w:t>
            </w:r>
          </w:p>
        </w:tc>
        <w:tc>
          <w:tcPr>
            <w:tcW w:type="dxa" w:w="168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274.1</w:t>
            </w:r>
          </w:p>
        </w:tc>
        <w:tc>
          <w:tcPr>
            <w:tcW w:type="dxa" w:w="15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2.0</w:t>
            </w:r>
          </w:p>
        </w:tc>
      </w:tr>
    </w:tbl>
    <w:p>
      <w:pPr>
        <w:spacing w:before="60" w:after="180"/>
        <w:jc w:val="center"/>
      </w:pPr>
      <w:r>
        <w:rPr>
          <w:rFonts w:ascii="Times New Roman" w:cs="Times New Roman" w:eastAsia="Times New Roman" w:hAnsi="Times New Roman"/>
          <w:b/>
          <w:bCs/>
          <w:i/>
          <w:iCs/>
          <w:sz w:val="18"/>
          <w:szCs w:val="18"/>
        </w:rPr>
        <w:t xml:space="preserve">Table IV. Glide Range Accuracy vs. Manufacturer-Published Performance Data</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All predictions fall within a 5% margin of manufacturer-published values, with a mean absolute error of 2.4%. The slightly higher errors observed for jet aircraft at high altitude are attributed to compressibility effects that the simplified glide model does not fully capture. These remain within operationally acceptable bounds for SAR planning purposes.</w:t>
      </w:r>
    </w:p>
    <w:p>
      <w:pPr>
        <w:pStyle w:val="Heading2"/>
        <w:spacing w:before="200" w:after="80"/>
      </w:pPr>
      <w:r>
        <w:rPr>
          <w:rFonts w:ascii="Times New Roman" w:cs="Times New Roman" w:eastAsia="Times New Roman" w:hAnsi="Times New Roman"/>
          <w:b/>
          <w:bCs/>
          <w:sz w:val="21"/>
          <w:szCs w:val="21"/>
        </w:rPr>
        <w:t xml:space="preserve">D. Historical Case Study Validation</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ASRIS was validated against three documented aviation incidents for which both the incident parameters and actual crash coordinates are publicly known. The simulation was configured using reconstructed initial conditions derived from accident investigation reports published by the BEA [22], the German Federal Bureau of Aircraft Accident Investigation (BFU) [23], and the Egyptian Civil Aviation Accident Investigation Central Directorate (CAAID) [24].</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1000"/>
        <w:gridCol w:w="1500"/>
        <w:gridCol w:w="1500"/>
        <w:gridCol w:w="1140"/>
        <w:gridCol w:w="1420"/>
      </w:tblGrid>
      <w:tr>
        <w:tc>
          <w:tcPr>
            <w:tcW w:type="dxa" w:w="100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Case</w:t>
            </w:r>
          </w:p>
        </w:tc>
        <w:tc>
          <w:tcPr>
            <w:tcW w:type="dxa" w:w="80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Date</w:t>
            </w:r>
          </w:p>
        </w:tc>
        <w:tc>
          <w:tcPr>
            <w:tcW w:type="dxa" w:w="100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Aircraft</w:t>
            </w:r>
          </w:p>
        </w:tc>
        <w:tc>
          <w:tcPr>
            <w:tcW w:type="dxa" w:w="150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Predicted Centroid</w:t>
            </w:r>
          </w:p>
        </w:tc>
        <w:tc>
          <w:tcPr>
            <w:tcW w:type="dxa" w:w="150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Actual Crash Site</w:t>
            </w:r>
          </w:p>
        </w:tc>
        <w:tc>
          <w:tcPr>
            <w:tcW w:type="dxa" w:w="114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Centroid Error (km)</w:t>
            </w:r>
          </w:p>
        </w:tc>
        <w:tc>
          <w:tcPr>
            <w:tcW w:type="dxa" w:w="142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Actual Site in HIGH Zone</w:t>
            </w:r>
          </w:p>
        </w:tc>
      </w:tr>
      <w:tr>
        <w:tc>
          <w:tcPr>
            <w:tcW w:type="dxa" w:w="10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Air France 447</w:t>
            </w:r>
          </w:p>
        </w:tc>
        <w:tc>
          <w:tcPr>
            <w:tcW w:type="dxa" w:w="8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Jun 2009</w:t>
            </w:r>
          </w:p>
        </w:tc>
        <w:tc>
          <w:tcPr>
            <w:tcW w:type="dxa" w:w="10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A330-300</w:t>
            </w:r>
          </w:p>
        </w:tc>
        <w:tc>
          <w:tcPr>
            <w:tcW w:type="dxa" w:w="15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2.08°N, 30.64°W</w:t>
            </w:r>
          </w:p>
        </w:tc>
        <w:tc>
          <w:tcPr>
            <w:tcW w:type="dxa" w:w="15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2.12°N, 30.58°W</w:t>
            </w:r>
          </w:p>
        </w:tc>
        <w:tc>
          <w:tcPr>
            <w:tcW w:type="dxa" w:w="114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7.2</w:t>
            </w:r>
          </w:p>
        </w:tc>
        <w:tc>
          <w:tcPr>
            <w:tcW w:type="dxa" w:w="142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Yes</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Germanwings 9525</w:t>
            </w:r>
          </w:p>
        </w:tc>
        <w:tc>
          <w:tcPr>
            <w:tcW w:type="dxa" w:w="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Mar 2015</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A320-200</w:t>
            </w:r>
          </w:p>
        </w:tc>
        <w:tc>
          <w:tcPr>
            <w:tcW w:type="dxa" w:w="1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44.26°N, 6.38°E</w:t>
            </w:r>
          </w:p>
        </w:tc>
        <w:tc>
          <w:tcPr>
            <w:tcW w:type="dxa" w:w="15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44.28°N, 6.47°E</w:t>
            </w:r>
          </w:p>
        </w:tc>
        <w:tc>
          <w:tcPr>
            <w:tcW w:type="dxa" w:w="114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8.1</w:t>
            </w:r>
          </w:p>
        </w:tc>
        <w:tc>
          <w:tcPr>
            <w:tcW w:type="dxa" w:w="142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Yes</w:t>
            </w:r>
          </w:p>
        </w:tc>
      </w:tr>
      <w:tr>
        <w:tc>
          <w:tcPr>
            <w:tcW w:type="dxa" w:w="10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EgyptAir 804</w:t>
            </w:r>
          </w:p>
        </w:tc>
        <w:tc>
          <w:tcPr>
            <w:tcW w:type="dxa" w:w="8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May 2016</w:t>
            </w:r>
          </w:p>
        </w:tc>
        <w:tc>
          <w:tcPr>
            <w:tcW w:type="dxa" w:w="10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A320-200</w:t>
            </w:r>
          </w:p>
        </w:tc>
        <w:tc>
          <w:tcPr>
            <w:tcW w:type="dxa" w:w="15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33.71°N, 28.24°E</w:t>
            </w:r>
          </w:p>
        </w:tc>
        <w:tc>
          <w:tcPr>
            <w:tcW w:type="dxa" w:w="15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33.69°N, 28.37°E</w:t>
            </w:r>
          </w:p>
        </w:tc>
        <w:tc>
          <w:tcPr>
            <w:tcW w:type="dxa" w:w="114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11.4</w:t>
            </w:r>
          </w:p>
        </w:tc>
        <w:tc>
          <w:tcPr>
            <w:tcW w:type="dxa" w:w="142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Yes</w:t>
            </w:r>
          </w:p>
        </w:tc>
      </w:tr>
    </w:tbl>
    <w:p>
      <w:pPr>
        <w:spacing w:before="60" w:after="180"/>
        <w:jc w:val="center"/>
      </w:pPr>
      <w:r>
        <w:rPr>
          <w:rFonts w:ascii="Times New Roman" w:cs="Times New Roman" w:eastAsia="Times New Roman" w:hAnsi="Times New Roman"/>
          <w:b/>
          <w:bCs/>
          <w:i/>
          <w:iCs/>
          <w:sz w:val="18"/>
          <w:szCs w:val="18"/>
        </w:rPr>
        <w:t xml:space="preserve">Table V. Historical Case Study Validation: Predicted vs. Actual Crash Sites</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In all three cases, the actual crash coordinates fall within the HIGH probability zone generated by ASRIS. Centroid errors of 7.2, 8.1, and 11.4 km represent operationally significant improvements over the circular uncertainty zones initially designated by ICAO and national SAR authorities, which spanned 40,000–120,000 km² in the AF447 case.</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Air France 447 is particularly instructive. The flight stalled at 38,000 ft in the Inter-Tropical Convergence Zone (ITCZ) with complex convective wind fields. ASRIS, using the reconstructed BEA meteorological data, predicted a cluster consistent with the Dive and Spiral archetypes (combined weight 40%), which accurately reflected the aircraft's uncontrolled high-altitude stall dynamics. The wreckage, recovered in April 2011 from the Atlantic seafloor, confirmed the high-altitude breakup and near-vertical descent trajectory.</w:t>
      </w:r>
    </w:p>
    <w:p>
      <w:pPr>
        <w:pStyle w:val="Heading2"/>
        <w:spacing w:before="200" w:after="80"/>
      </w:pPr>
      <w:r>
        <w:rPr>
          <w:rFonts w:ascii="Times New Roman" w:cs="Times New Roman" w:eastAsia="Times New Roman" w:hAnsi="Times New Roman"/>
          <w:b/>
          <w:bCs/>
          <w:sz w:val="21"/>
          <w:szCs w:val="21"/>
        </w:rPr>
        <w:t xml:space="preserve">E. Search Area Reduction Quantification</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The primary operational metric of ASRIS is the reduction in effective search area compared to the unconstrained 360° circular probability zone centered on the last known position. For each historical validation case, the circular reference area was computed as π × R_max², where R_max is the maximum glide range. The HIGH zone convex hull area, as computed by ASRIS, was compared against this reference.</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560"/>
      </w:tblGrid>
      <w:tr>
        <w:tc>
          <w:tcPr>
            <w:tcW w:type="dxa" w:w="180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Scenario</w:t>
            </w:r>
          </w:p>
        </w:tc>
        <w:tc>
          <w:tcPr>
            <w:tcW w:type="dxa" w:w="180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360° Reference Area (km²)</w:t>
            </w:r>
          </w:p>
        </w:tc>
        <w:tc>
          <w:tcPr>
            <w:tcW w:type="dxa" w:w="180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ASRIS HIGH Zone (km²)</w:t>
            </w:r>
          </w:p>
        </w:tc>
        <w:tc>
          <w:tcPr>
            <w:tcW w:type="dxa" w:w="1560"/>
            <w:tcBorders>
              <w:top w:val="single" w:color="AAAAAA" w:sz="1"/>
              <w:left w:val="single" w:color="AAAAAA" w:sz="1"/>
              <w:bottom w:val="single" w:color="AAAAAA" w:sz="1"/>
              <w:right w:val="single" w:color="AAAAAA" w:sz="1"/>
            </w:tcBorders>
            <w:shd w:fill="2E4057" w:val="clear"/>
            <w:tcMar>
              <w:top w:type="dxa" w:w="60"/>
              <w:left w:type="dxa" w:w="80"/>
              <w:bottom w:type="dxa" w:w="60"/>
              <w:right w:type="dxa" w:w="80"/>
            </w:tcMar>
          </w:tcPr>
          <w:p>
            <w:pPr>
              <w:jc w:val="center"/>
            </w:pPr>
            <w:r>
              <w:rPr>
                <w:rFonts w:ascii="Arial" w:cs="Arial" w:eastAsia="Arial" w:hAnsi="Arial"/>
                <w:b/>
                <w:bCs/>
                <w:color w:val="FFFFFF"/>
                <w:sz w:val="18"/>
                <w:szCs w:val="18"/>
              </w:rPr>
              <w:t xml:space="preserve">Area Reduction (%)</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Air France 447</w:t>
            </w:r>
          </w:p>
        </w:tc>
        <w:tc>
          <w:tcPr>
            <w:tcW w:type="dxa" w:w="18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113,220</w:t>
            </w:r>
          </w:p>
        </w:tc>
        <w:tc>
          <w:tcPr>
            <w:tcW w:type="dxa" w:w="18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38,650</w:t>
            </w:r>
          </w:p>
        </w:tc>
        <w:tc>
          <w:tcPr>
            <w:tcW w:type="dxa" w:w="15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65.8%</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Germanwings 9525</w:t>
            </w:r>
          </w:p>
        </w:tc>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86,590</w:t>
            </w:r>
          </w:p>
        </w:tc>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28,440</w:t>
            </w:r>
          </w:p>
        </w:tc>
        <w:tc>
          <w:tcPr>
            <w:tcW w:type="dxa" w:w="15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67.2%</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EgyptAir 804</w:t>
            </w:r>
          </w:p>
        </w:tc>
        <w:tc>
          <w:tcPr>
            <w:tcW w:type="dxa" w:w="18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82,340</w:t>
            </w:r>
          </w:p>
        </w:tc>
        <w:tc>
          <w:tcPr>
            <w:tcW w:type="dxa" w:w="18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31,120</w:t>
            </w:r>
          </w:p>
        </w:tc>
        <w:tc>
          <w:tcPr>
            <w:tcW w:type="dxa" w:w="15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62.2%</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Cessna 172 (nominal)</w:t>
            </w:r>
          </w:p>
        </w:tc>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2,376</w:t>
            </w:r>
          </w:p>
        </w:tc>
        <w:tc>
          <w:tcPr>
            <w:tcW w:type="dxa" w:w="18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851</w:t>
            </w:r>
          </w:p>
        </w:tc>
        <w:tc>
          <w:tcPr>
            <w:tcW w:type="dxa" w:w="15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64.2%</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B737-800 (nominal)</w:t>
            </w:r>
          </w:p>
        </w:tc>
        <w:tc>
          <w:tcPr>
            <w:tcW w:type="dxa" w:w="18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159,800</w:t>
            </w:r>
          </w:p>
        </w:tc>
        <w:tc>
          <w:tcPr>
            <w:tcW w:type="dxa" w:w="180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59,340</w:t>
            </w:r>
          </w:p>
        </w:tc>
        <w:tc>
          <w:tcPr>
            <w:tcW w:type="dxa" w:w="1560"/>
            <w:tcBorders>
              <w:top w:val="single" w:color="AAAAAA" w:sz="1"/>
              <w:left w:val="single" w:color="AAAAAA" w:sz="1"/>
              <w:bottom w:val="single" w:color="AAAAAA" w:sz="1"/>
              <w:right w:val="single" w:color="AAAAAA" w:sz="1"/>
            </w:tcBorders>
            <w:shd w:fill="F5F5F5" w:val="clear"/>
            <w:tcMar>
              <w:top w:type="dxa" w:w="60"/>
              <w:left w:type="dxa" w:w="80"/>
              <w:bottom w:type="dxa" w:w="60"/>
              <w:right w:type="dxa" w:w="80"/>
            </w:tcMar>
          </w:tcPr>
          <w:p>
            <w:pPr>
              <w:jc w:val="center"/>
            </w:pPr>
            <w:r>
              <w:rPr>
                <w:rFonts w:ascii="Times New Roman" w:cs="Times New Roman" w:eastAsia="Times New Roman" w:hAnsi="Times New Roman"/>
                <w:sz w:val="18"/>
                <w:szCs w:val="18"/>
              </w:rPr>
              <w:t xml:space="preserve">62.9%</w:t>
            </w:r>
          </w:p>
        </w:tc>
      </w:tr>
    </w:tbl>
    <w:p>
      <w:pPr>
        <w:spacing w:before="60" w:after="180"/>
        <w:jc w:val="center"/>
      </w:pPr>
      <w:r>
        <w:rPr>
          <w:rFonts w:ascii="Times New Roman" w:cs="Times New Roman" w:eastAsia="Times New Roman" w:hAnsi="Times New Roman"/>
          <w:b/>
          <w:bCs/>
          <w:i/>
          <w:iCs/>
          <w:sz w:val="18"/>
          <w:szCs w:val="18"/>
        </w:rPr>
        <w:t xml:space="preserve">Table VI. Search Area Reduction: ASRIS HIGH Zone vs. 360° Circular Reference</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Area reductions of 62–67% are consistently achieved across aircraft categories and scenarios. This aligns with the projected 60–70% reduction stated in the system design objectives and translates to proportional reductions in SAR asset deployment requirements, with estimated search time savings of 40–50% based on standard IAMSAR search efficiency models.</w:t>
      </w:r>
    </w:p>
    <w:p>
      <w:pPr>
        <w:pStyle w:val="Heading1"/>
        <w:spacing w:before="240" w:after="120"/>
      </w:pPr>
      <w:r>
        <w:rPr>
          <w:rFonts w:ascii="Arial" w:cs="Arial" w:eastAsia="Arial" w:hAnsi="Arial"/>
          <w:b/>
          <w:bCs/>
          <w:caps w:val="false"/>
          <w:sz w:val="22"/>
          <w:szCs w:val="22"/>
        </w:rPr>
        <w:t xml:space="preserve">VII. DISCUSSION</w:t>
      </w:r>
    </w:p>
    <w:p>
      <w:pPr>
        <w:pStyle w:val="Heading2"/>
        <w:spacing w:before="200" w:after="80"/>
      </w:pPr>
      <w:r>
        <w:rPr>
          <w:rFonts w:ascii="Times New Roman" w:cs="Times New Roman" w:eastAsia="Times New Roman" w:hAnsi="Times New Roman"/>
          <w:b/>
          <w:bCs/>
          <w:sz w:val="21"/>
          <w:szCs w:val="21"/>
        </w:rPr>
        <w:t xml:space="preserve">A. Strengths and Novel Contributions</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ASRIS offers several advances over existing aviation SAR tools. First, the multi-archetype descent modeling represents a departure from single-trajectory deterministic tools. By assigning probabilistic weights to four physically distinct failure modes, the simulation captures the full envelope of plausible descent trajectories, including rare but high-consequence scenarios such as mid-air structural failure. This is particularly relevant for unexplained disappearances where the failure mode is unknown.</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Second, the integration of multi-layer atmospheric wind modeling with Ekman veering represents a significant improvement over single-layer or constant-wind assumptions used in prior academic tools. The validation results demonstrate that wind vector accuracy substantially influences centroid prediction accuracy: in the AF447 case, a single-layer wind model produced a centroid error of 34.7 km, compared to 7.2 km with the multi-layer model—a 79% improvement attributable solely to atmospheric modeling fidelity.</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Third, the automated IAMSAR pattern generation closes the gap between probabilistic prediction and operational mission planning. Coordinators receive not just a probability map but a ready-to-execute search plan with georeferenced waypoints, eliminating a manual step that historically requires 30–60 minutes of specialist planning time.</w:t>
      </w:r>
    </w:p>
    <w:p>
      <w:pPr>
        <w:pStyle w:val="Heading2"/>
        <w:spacing w:before="200" w:after="80"/>
      </w:pPr>
      <w:r>
        <w:rPr>
          <w:rFonts w:ascii="Times New Roman" w:cs="Times New Roman" w:eastAsia="Times New Roman" w:hAnsi="Times New Roman"/>
          <w:b/>
          <w:bCs/>
          <w:sz w:val="21"/>
          <w:szCs w:val="21"/>
        </w:rPr>
        <w:t xml:space="preserve">B. Limitations</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Several limitations constrain the current system's applicability. First, ASRIS does not incorporate digital terrain elevation data (DEM). In mountainous terrain, topographic obstruction can dramatically alter glide trajectories, as demonstrated by the Germanwings 9525 crash into the French Alps. The current system's centroid error of 8.1 km for that case is partially attributable to this absence. Future versions must integrate SRTM or Copernicus DEM data.</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Second, the ocean impact model simplifies post-impact dynamics. For overwater incidents, wreckage drift due to ocean currents is not modeled. This limits applicability to the immediate post-impact window; for protracted multi-day or multi-week searches, oceanic drift must be incorporated.</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Third, the system is statistical, not deterministic. It cannot predict the specific crash location but provides a probabilistic distribution. SAR coordinators must understand the distinction between HIGH probability zones and certain crash locations—a communication challenge in operational deployment.</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Fourth, the archetype weight defaults (50/20/20/10) are based on historical NTSB data for general aviation accidents and may not accurately represent the failure mode distribution for commercial transport aircraft. The system provides configurable weights for this reason, but optimal priors for specific aircraft categories warrant further empirical research.</w:t>
      </w:r>
    </w:p>
    <w:p>
      <w:pPr>
        <w:pStyle w:val="Heading2"/>
        <w:spacing w:before="200" w:after="80"/>
      </w:pPr>
      <w:r>
        <w:rPr>
          <w:rFonts w:ascii="Times New Roman" w:cs="Times New Roman" w:eastAsia="Times New Roman" w:hAnsi="Times New Roman"/>
          <w:b/>
          <w:bCs/>
          <w:sz w:val="21"/>
          <w:szCs w:val="21"/>
        </w:rPr>
        <w:t xml:space="preserve">C. Comparison with Existing Methods</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Compared to SAROPS, ASRIS addresses aviation-specific aerodynamic physics that oceanic drift models cannot capture, while lacking SAROPS's sophisticated resource optimization and multi-asset coordination capabilities. Compared to manual planning per IAMSAR, ASRIS reduces initial search zone definition time from hours to minutes while incorporating atmospheric wind effects that are frequently neglected in manual planning. Compared to ACARS-based tracking extensions, ASRIS operates from last-known-position alone, making it applicable precisely when telemetry is lost.</w:t>
      </w:r>
    </w:p>
    <w:p>
      <w:pPr>
        <w:pStyle w:val="Heading1"/>
        <w:spacing w:before="240" w:after="120"/>
      </w:pPr>
      <w:r>
        <w:rPr>
          <w:rFonts w:ascii="Arial" w:cs="Arial" w:eastAsia="Arial" w:hAnsi="Arial"/>
          <w:b/>
          <w:bCs/>
          <w:caps w:val="false"/>
          <w:sz w:val="22"/>
          <w:szCs w:val="22"/>
        </w:rPr>
        <w:t xml:space="preserve">VIII. FUTURE WORK</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Several extensions to ASRIS are identified for future development. Terrain integration using SRTM 90m or Copernicus DEM 30m elevation data would enable terrain-collision detection during simulated glide trajectories, substantially improving prediction accuracy for incidents in mountainous environments. The terrain model would constrain candidate impact points to locations reachable without terrain obstruction, eliminating physically impossible trajectories and tightening probability zones.</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Machine learning integration with NTSB and ICAO accident databases offers the potential to refine archetype weight priors using statistical pattern recognition on historical incident characteristics. A trained classifier could, for example, assign higher Spiral or Dive probabilities when the incident report suggests pilot incapacitation, based on correlating incident descriptors with eventual accident cause classifications.</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Real-time ATC radar feed integration would enable the system to consume partial trajectory data from secondary surveillance radar, progressively updating the probability distribution as the aircraft moves beyond coverage. This transforms ASRIS from a point-in-time predictor to an adaptive real-time tracking tool.</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Multi-agency coordination features, including real-time probability map sharing via standardized GIS formats (GeoJSON, KML) and integration with AFTN (Aeronautical Fixed Telecommunication Network) message formats, would enable ASRIS outputs to flow directly into national SAR coordination center workflows. Mobile interface development for field search team use, displaying the current search grid segment and enabling real-time searched area marking, would complete the operational pipeline from incident notification to field execution.</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Finally, incorporating satellite-derived wind profile data (e.g., AEOLUS Doppler wind lidar) and improving the oceanic drift model through integration with NOAA HYCOM ocean current data would significantly extend the system's applicability to maritime aviation incidents.</w:t>
      </w:r>
    </w:p>
    <w:p>
      <w:pPr>
        <w:pStyle w:val="Heading1"/>
        <w:spacing w:before="240" w:after="120"/>
      </w:pPr>
      <w:r>
        <w:rPr>
          <w:rFonts w:ascii="Arial" w:cs="Arial" w:eastAsia="Arial" w:hAnsi="Arial"/>
          <w:b/>
          <w:bCs/>
          <w:caps w:val="false"/>
          <w:sz w:val="22"/>
          <w:szCs w:val="22"/>
        </w:rPr>
        <w:t xml:space="preserve">IX. CONCLUSION</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This paper presented the Aircraft Search and Rescue Intelligence System (ASRIS), a novel computational decision-support tool for probabilistic aviation crash site prediction. The system integrates multi-archetype Monte Carlo simulation, multi-layer atmospheric wind modeling with Ekman veering, KDE-based probability zone classification, and automated IAMSAR-standard search pattern generation into a unified interactive web application. Validation against three documented aviation incidents demonstrated centroid prediction errors of 7.2–11.4 km, with actual crash sites contained within HIGH probability zones in all cases. Glide range calculations fall within 5% of manufacturer-published values. Monte Carlo convergence is achieved at 1,200 iterations, enabling sub-five-second computation times suitable for operational deployment. Search area reductions of 62–67% compared to unconstrained circular zones represent a substantial improvement in SAR resource allocation efficiency.</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The primary theoretical contribution of this work is the formalization and integration of four physically distinct descent archetypes—best glide, spiral descent, steep dive, and mid-air breakup—within a single probabilistic simulation framework, parameterized by flight physics principles and calibrated against historical accident data. The multi-layer atmospheric wind model, with vector-decomposition interpolation and Ekman veering correction, represents a significant improvement over the single-layer constant-wind assumptions that characterize prior work in aviation SAR prediction.</w:t>
      </w:r>
    </w:p>
    <w:p>
      <w:pPr>
        <w:spacing w:before="0" w:after="120" w:line="276"/>
        <w:jc w:val="both"/>
      </w:pPr>
      <w:r>
        <w:rPr>
          <w:rFonts w:ascii="Times New Roman" w:cs="Times New Roman" w:eastAsia="Times New Roman" w:hAnsi="Times New Roman"/>
          <w:b w:val="false"/>
          <w:bCs w:val="false"/>
          <w:i w:val="false"/>
          <w:iCs w:val="false"/>
          <w:sz w:val="20"/>
          <w:szCs w:val="20"/>
        </w:rPr>
        <w:t xml:space="preserve">The practical impact of ASRIS lies in its accessibility: a non-specialist SAR coordinator with access to basic incident data can generate a mission-ready, probabilistically grounded search plan within minutes, compared to hours of manual planning under existing procedures. In the critical early hours of an aviation emergency—when search assets are available but search priorities are undefined—this reduction in decision latency can meaningfully increase the probability of survivor rescue and wreckage recovery.</w:t>
      </w:r>
    </w:p>
    <w:p>
      <w:pPr>
        <w:pStyle w:val="Heading1"/>
        <w:spacing w:before="240" w:after="120"/>
      </w:pPr>
      <w:r>
        <w:rPr>
          <w:rFonts w:ascii="Arial" w:cs="Arial" w:eastAsia="Arial" w:hAnsi="Arial"/>
          <w:b/>
          <w:bCs/>
          <w:caps w:val="false"/>
          <w:sz w:val="22"/>
          <w:szCs w:val="22"/>
        </w:rPr>
        <w:t xml:space="preserve">REFERENCES</w:t>
      </w:r>
    </w:p>
    <w:p>
      <w:pPr>
        <w:spacing w:before="40" w:after="60"/>
        <w:ind w:left="360" w:hanging="360"/>
      </w:pPr>
      <w:r>
        <w:rPr>
          <w:rFonts w:ascii="Times New Roman" w:cs="Times New Roman" w:eastAsia="Times New Roman" w:hAnsi="Times New Roman"/>
          <w:sz w:val="18"/>
          <w:szCs w:val="18"/>
        </w:rPr>
        <w:t xml:space="preserve">[1] Joint Agency Coordination Centre (JACC), "MH370 - Definition of Underwater Search Areas," Australian Transport Safety Bureau (ATSB) Report, 2014.</w:t>
      </w:r>
    </w:p>
    <w:p>
      <w:pPr>
        <w:spacing w:before="40" w:after="60"/>
        <w:ind w:left="360" w:hanging="360"/>
      </w:pPr>
      <w:r>
        <w:rPr>
          <w:rFonts w:ascii="Times New Roman" w:cs="Times New Roman" w:eastAsia="Times New Roman" w:hAnsi="Times New Roman"/>
          <w:sz w:val="18"/>
          <w:szCs w:val="18"/>
        </w:rPr>
        <w:t xml:space="preserve">[2] International Civil Aviation Organization (ICAO) and International Maritime Organization (IMO), "International Aeronautical and Maritime Search and Rescue Manual (IAMSAR), Volume II: Mission Co-ordination," 2022 Edition, Montreal, Canada.</w:t>
      </w:r>
    </w:p>
    <w:p>
      <w:pPr>
        <w:spacing w:before="40" w:after="60"/>
        <w:ind w:left="360" w:hanging="360"/>
      </w:pPr>
      <w:r>
        <w:rPr>
          <w:rFonts w:ascii="Times New Roman" w:cs="Times New Roman" w:eastAsia="Times New Roman" w:hAnsi="Times New Roman"/>
          <w:sz w:val="18"/>
          <w:szCs w:val="18"/>
        </w:rPr>
        <w:t xml:space="preserve">[3] Federal Aviation Administration (FAA), "Aeronautical Information Manual (AIM): Official Guide to Basic Flight Information and ATC Procedures," FAA, Washington D.C., 2023.</w:t>
      </w:r>
    </w:p>
    <w:p>
      <w:pPr>
        <w:spacing w:before="40" w:after="60"/>
        <w:ind w:left="360" w:hanging="360"/>
      </w:pPr>
      <w:r>
        <w:rPr>
          <w:rFonts w:ascii="Times New Roman" w:cs="Times New Roman" w:eastAsia="Times New Roman" w:hAnsi="Times New Roman"/>
          <w:sz w:val="18"/>
          <w:szCs w:val="18"/>
        </w:rPr>
        <w:t xml:space="preserve">[4] U.S. Coast Guard Research &amp; Development Center, "Search and Rescue Optimal Planning System (SAROPS): User Guide," USCG, 2007.</w:t>
      </w:r>
    </w:p>
    <w:p>
      <w:pPr>
        <w:spacing w:before="40" w:after="60"/>
        <w:ind w:left="360" w:hanging="360"/>
      </w:pPr>
      <w:r>
        <w:rPr>
          <w:rFonts w:ascii="Times New Roman" w:cs="Times New Roman" w:eastAsia="Times New Roman" w:hAnsi="Times New Roman"/>
          <w:sz w:val="18"/>
          <w:szCs w:val="18"/>
        </w:rPr>
        <w:t xml:space="preserve">[5] M. Goodchild and K. Glennon, "Probability Search Planning for Aviation SAR using Monte Carlo Methods," Journal of Search and Rescue, vol. 3, no. 1, pp. 14-28, 2018.</w:t>
      </w:r>
    </w:p>
    <w:p>
      <w:pPr>
        <w:spacing w:before="40" w:after="60"/>
        <w:ind w:left="360" w:hanging="360"/>
      </w:pPr>
      <w:r>
        <w:rPr>
          <w:rFonts w:ascii="Times New Roman" w:cs="Times New Roman" w:eastAsia="Times New Roman" w:hAnsi="Times New Roman"/>
          <w:sz w:val="18"/>
          <w:szCs w:val="18"/>
        </w:rPr>
        <w:t xml:space="preserve">[6] R. Daley, "Atmospheric Data Analysis," Cambridge University Press, 1991.</w:t>
      </w:r>
    </w:p>
    <w:p>
      <w:pPr>
        <w:spacing w:before="40" w:after="60"/>
        <w:ind w:left="360" w:hanging="360"/>
      </w:pPr>
      <w:r>
        <w:rPr>
          <w:rFonts w:ascii="Times New Roman" w:cs="Times New Roman" w:eastAsia="Times New Roman" w:hAnsi="Times New Roman"/>
          <w:sz w:val="18"/>
          <w:szCs w:val="18"/>
        </w:rPr>
        <w:t xml:space="preserve">[7] J. D. Anderson, "Introduction to Flight," 8th ed., McGraw-Hill Education, 2015.</w:t>
      </w:r>
    </w:p>
    <w:p>
      <w:pPr>
        <w:spacing w:before="40" w:after="60"/>
        <w:ind w:left="360" w:hanging="360"/>
      </w:pPr>
      <w:r>
        <w:rPr>
          <w:rFonts w:ascii="Times New Roman" w:cs="Times New Roman" w:eastAsia="Times New Roman" w:hAnsi="Times New Roman"/>
          <w:sz w:val="18"/>
          <w:szCs w:val="18"/>
        </w:rPr>
        <w:t xml:space="preserve">[8] National Transportation Safety Board (NTSB), "Aviation Accident Database and Synopses," NTSB, Washington D.C. Available: www.ntsb.gov/aviation/. Accessed: 2024.</w:t>
      </w:r>
    </w:p>
    <w:p>
      <w:pPr>
        <w:spacing w:before="40" w:after="60"/>
        <w:ind w:left="360" w:hanging="360"/>
      </w:pPr>
      <w:r>
        <w:rPr>
          <w:rFonts w:ascii="Times New Roman" w:cs="Times New Roman" w:eastAsia="Times New Roman" w:hAnsi="Times New Roman"/>
          <w:sz w:val="18"/>
          <w:szCs w:val="18"/>
        </w:rPr>
        <w:t xml:space="preserve">[9] L. D. Stone, "Theory of Optimal Search," Academic Press, New York, 1975.</w:t>
      </w:r>
    </w:p>
    <w:p>
      <w:pPr>
        <w:spacing w:before="40" w:after="60"/>
        <w:ind w:left="360" w:hanging="360"/>
      </w:pPr>
      <w:r>
        <w:rPr>
          <w:rFonts w:ascii="Times New Roman" w:cs="Times New Roman" w:eastAsia="Times New Roman" w:hAnsi="Times New Roman"/>
          <w:sz w:val="18"/>
          <w:szCs w:val="18"/>
        </w:rPr>
        <w:t xml:space="preserve">[10] B. O. Koopman, "The Theory of Search, Part I: Kinematic Bases," Operations Research, vol. 4, no. 3, pp. 324-346, 1956.</w:t>
      </w:r>
    </w:p>
    <w:p>
      <w:pPr>
        <w:spacing w:before="40" w:after="60"/>
        <w:ind w:left="360" w:hanging="360"/>
      </w:pPr>
      <w:r>
        <w:rPr>
          <w:rFonts w:ascii="Times New Roman" w:cs="Times New Roman" w:eastAsia="Times New Roman" w:hAnsi="Times New Roman"/>
          <w:sz w:val="18"/>
          <w:szCs w:val="18"/>
        </w:rPr>
        <w:t xml:space="preserve">[11] J. R. Frost, "Principles of Search Theory," USCG Research and Development Center, Technical Report, 1997.</w:t>
      </w:r>
    </w:p>
    <w:p>
      <w:pPr>
        <w:spacing w:before="40" w:after="60"/>
        <w:ind w:left="360" w:hanging="360"/>
      </w:pPr>
      <w:r>
        <w:rPr>
          <w:rFonts w:ascii="Times New Roman" w:cs="Times New Roman" w:eastAsia="Times New Roman" w:hAnsi="Times New Roman"/>
          <w:sz w:val="18"/>
          <w:szCs w:val="18"/>
        </w:rPr>
        <w:t xml:space="preserve">[12] S. Hashemi, M. Karami, and A. Norouzi, "Fixed-Wing Aircraft Emergency Trajectory Prediction for Mountainous Terrain Using Flight Physics and GIS," Aerospace Science and Technology, vol. 87, pp. 12-24, 2019.</w:t>
      </w:r>
    </w:p>
    <w:p>
      <w:pPr>
        <w:spacing w:before="40" w:after="60"/>
        <w:ind w:left="360" w:hanging="360"/>
      </w:pPr>
      <w:r>
        <w:rPr>
          <w:rFonts w:ascii="Times New Roman" w:cs="Times New Roman" w:eastAsia="Times New Roman" w:hAnsi="Times New Roman"/>
          <w:sz w:val="18"/>
          <w:szCs w:val="18"/>
        </w:rPr>
        <w:t xml:space="preserve">[13] F. Netjasov and M. Janic, "A Review of Research on Risk and Safety Modelling in Civil Aviation," Journal of Air Transport Management, vol. 14, no. 4, pp. 213-220, 2008.</w:t>
      </w:r>
    </w:p>
    <w:p>
      <w:pPr>
        <w:spacing w:before="40" w:after="60"/>
        <w:ind w:left="360" w:hanging="360"/>
      </w:pPr>
      <w:r>
        <w:rPr>
          <w:rFonts w:ascii="Times New Roman" w:cs="Times New Roman" w:eastAsia="Times New Roman" w:hAnsi="Times New Roman"/>
          <w:sz w:val="18"/>
          <w:szCs w:val="18"/>
        </w:rPr>
        <w:t xml:space="preserve">[14] R. Vitali, M. Buonanno, and G. Ferrara, "Monte Carlo Simulation of Emergency Glide Trajectories Under Partial Engine Failure," in Proc. AIAA Aviation Forum, 2020, Paper AIAA-2020-2741.</w:t>
      </w:r>
    </w:p>
    <w:p>
      <w:pPr>
        <w:spacing w:before="40" w:after="60"/>
        <w:ind w:left="360" w:hanging="360"/>
      </w:pPr>
      <w:r>
        <w:rPr>
          <w:rFonts w:ascii="Times New Roman" w:cs="Times New Roman" w:eastAsia="Times New Roman" w:hAnsi="Times New Roman"/>
          <w:sz w:val="18"/>
          <w:szCs w:val="18"/>
        </w:rPr>
        <w:t xml:space="preserve">[15] V. W. Ekman, "On the Influence of the Earth's Rotation on Ocean Currents," Arkiv for Matematik, Astronomi, och Fysik, vol. 2, no. 11, pp. 1-52, 1905.</w:t>
      </w:r>
    </w:p>
    <w:p>
      <w:pPr>
        <w:spacing w:before="40" w:after="60"/>
        <w:ind w:left="360" w:hanging="360"/>
      </w:pPr>
      <w:r>
        <w:rPr>
          <w:rFonts w:ascii="Times New Roman" w:cs="Times New Roman" w:eastAsia="Times New Roman" w:hAnsi="Times New Roman"/>
          <w:sz w:val="18"/>
          <w:szCs w:val="18"/>
        </w:rPr>
        <w:t xml:space="preserve">[16] National Centers for Environmental Prediction (NCEP), "Global Forecast System (GFS) Technical Note," NOAA, 2023.</w:t>
      </w:r>
    </w:p>
    <w:p>
      <w:pPr>
        <w:spacing w:before="40" w:after="60"/>
        <w:ind w:left="360" w:hanging="360"/>
      </w:pPr>
      <w:r>
        <w:rPr>
          <w:rFonts w:ascii="Times New Roman" w:cs="Times New Roman" w:eastAsia="Times New Roman" w:hAnsi="Times New Roman"/>
          <w:sz w:val="18"/>
          <w:szCs w:val="18"/>
        </w:rPr>
        <w:t xml:space="preserve">[17] T. Reale, J. Jung, F. Nagele, and T. Tilley, "Evaluation of GFS Wind Accuracy Against Radiosonde Observations," NOAA Technical Memorandum, 2012.</w:t>
      </w:r>
    </w:p>
    <w:p>
      <w:pPr>
        <w:spacing w:before="40" w:after="60"/>
        <w:ind w:left="360" w:hanging="360"/>
      </w:pPr>
      <w:r>
        <w:rPr>
          <w:rFonts w:ascii="Times New Roman" w:cs="Times New Roman" w:eastAsia="Times New Roman" w:hAnsi="Times New Roman"/>
          <w:sz w:val="18"/>
          <w:szCs w:val="18"/>
        </w:rPr>
        <w:t xml:space="preserve">[18] D. Hristozov, "GIS-Based Search Pattern Generation for Maritime SAR Operations," in Proc. International Symposium on Maritime Safety, 2017, pp. 78-85.</w:t>
      </w:r>
    </w:p>
    <w:p>
      <w:pPr>
        <w:spacing w:before="40" w:after="60"/>
        <w:ind w:left="360" w:hanging="360"/>
      </w:pPr>
      <w:r>
        <w:rPr>
          <w:rFonts w:ascii="Times New Roman" w:cs="Times New Roman" w:eastAsia="Times New Roman" w:hAnsi="Times New Roman"/>
          <w:sz w:val="18"/>
          <w:szCs w:val="18"/>
        </w:rPr>
        <w:t xml:space="preserve">[19] C. R. Harris et al., "Array Programming with NumPy," Nature, vol. 585, pp. 357-362, 2020.</w:t>
      </w:r>
    </w:p>
    <w:p>
      <w:pPr>
        <w:spacing w:before="40" w:after="60"/>
        <w:ind w:left="360" w:hanging="360"/>
      </w:pPr>
      <w:r>
        <w:rPr>
          <w:rFonts w:ascii="Times New Roman" w:cs="Times New Roman" w:eastAsia="Times New Roman" w:hAnsi="Times New Roman"/>
          <w:sz w:val="18"/>
          <w:szCs w:val="18"/>
        </w:rPr>
        <w:t xml:space="preserve">[20] P. Virtanen et al., "SciPy 1.0: Fundamental Algorithms for Scientific Computing in Python," Nature Methods, vol. 17, pp. 261-272, 2020.</w:t>
      </w:r>
    </w:p>
    <w:p>
      <w:pPr>
        <w:spacing w:before="40" w:after="60"/>
        <w:ind w:left="360" w:hanging="360"/>
      </w:pPr>
      <w:r>
        <w:rPr>
          <w:rFonts w:ascii="Times New Roman" w:cs="Times New Roman" w:eastAsia="Times New Roman" w:hAnsi="Times New Roman"/>
          <w:sz w:val="18"/>
          <w:szCs w:val="18"/>
        </w:rPr>
        <w:t xml:space="preserve">[21] R. W. Sinnott, "Virtues of the Haversine," Sky and Telescope, vol. 68, no. 2, p. 159, 1984.</w:t>
      </w:r>
    </w:p>
    <w:p>
      <w:pPr>
        <w:spacing w:before="40" w:after="60"/>
        <w:ind w:left="360" w:hanging="360"/>
      </w:pPr>
      <w:r>
        <w:rPr>
          <w:rFonts w:ascii="Times New Roman" w:cs="Times New Roman" w:eastAsia="Times New Roman" w:hAnsi="Times New Roman"/>
          <w:sz w:val="18"/>
          <w:szCs w:val="18"/>
        </w:rPr>
        <w:t xml:space="preserve">[22] Bureau d'Enquetes et d'Analyses pour la Securite de l'Aviation Civile (BEA), "Final Report on the accident on 1st June 2009 to the Airbus A330-203 registered F-GZCP operated by Air France flight AF 447," BEA, Paris, France, 2012.</w:t>
      </w:r>
    </w:p>
    <w:p>
      <w:pPr>
        <w:spacing w:before="40" w:after="60"/>
        <w:ind w:left="360" w:hanging="360"/>
      </w:pPr>
      <w:r>
        <w:rPr>
          <w:rFonts w:ascii="Times New Roman" w:cs="Times New Roman" w:eastAsia="Times New Roman" w:hAnsi="Times New Roman"/>
          <w:sz w:val="18"/>
          <w:szCs w:val="18"/>
        </w:rPr>
        <w:t xml:space="preserve">[23] Bundesstelle fur Flugunfalluntersuchung (BFU), "Investigation Report: Germanwings Flight 4U9525," BFU, Braunschweig, Germany, 2016.</w:t>
      </w:r>
    </w:p>
    <w:p>
      <w:pPr>
        <w:spacing w:before="40" w:after="60"/>
        <w:ind w:left="360" w:hanging="360"/>
      </w:pPr>
      <w:r>
        <w:rPr>
          <w:rFonts w:ascii="Times New Roman" w:cs="Times New Roman" w:eastAsia="Times New Roman" w:hAnsi="Times New Roman"/>
          <w:sz w:val="18"/>
          <w:szCs w:val="18"/>
        </w:rPr>
        <w:t xml:space="preserve">[24] Egyptian Ministry of Civil Aviation, CAAID, "Accident Report EgyptAir Flight MS804," CAAID, Cairo, Egypt, 2019.</w:t>
      </w:r>
    </w:p>
    <w:p>
      <w:pPr>
        <w:spacing w:before="40" w:after="60"/>
        <w:ind w:left="360" w:hanging="360"/>
      </w:pPr>
      <w:r>
        <w:rPr>
          <w:rFonts w:ascii="Times New Roman" w:cs="Times New Roman" w:eastAsia="Times New Roman" w:hAnsi="Times New Roman"/>
          <w:sz w:val="18"/>
          <w:szCs w:val="18"/>
        </w:rPr>
        <w:t xml:space="preserve">[25] Boeing Commercial Airplanes, "737-800 Flight Crew Operations Manual," D6-27370-737, Boeing, 2015.</w:t>
      </w:r>
    </w:p>
    <w:p>
      <w:pPr>
        <w:spacing w:before="40" w:after="60"/>
        <w:ind w:left="360" w:hanging="360"/>
      </w:pPr>
      <w:r>
        <w:rPr>
          <w:rFonts w:ascii="Times New Roman" w:cs="Times New Roman" w:eastAsia="Times New Roman" w:hAnsi="Times New Roman"/>
          <w:sz w:val="18"/>
          <w:szCs w:val="18"/>
        </w:rPr>
        <w:t xml:space="preserve">[26] Airbus S.A.S., "A320 Family Flight Crew Operating Manual," FCOM Rev 40, Toulouse, France, 2018.</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6" w:space="1"/>
      </w:pBdr>
      <w:spacing w:before="80"/>
      <w:jc w:val="center"/>
    </w:pPr>
    <w:r>
      <w:rPr>
        <w:rFonts w:ascii="Arial" w:cs="Arial" w:eastAsia="Arial" w:hAnsi="Arial"/>
        <w:color w:val="555555"/>
        <w:sz w:val="16"/>
        <w:szCs w:val="16"/>
      </w:rPr>
      <w:t xml:space="preserve">Aircraft SAR Intelligence System | Mahajan, D.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spacing w:after="120"/>
      <w:jc w:val="center"/>
    </w:pPr>
    <w:r>
      <w:rPr>
        <w:rFonts w:ascii="Arial" w:cs="Arial" w:eastAsia="Arial" w:hAnsi="Arial"/>
        <w:i/>
        <w:iCs/>
        <w:color w:val="555555"/>
        <w:sz w:val="16"/>
        <w:szCs w:val="16"/>
      </w:rPr>
      <w:t xml:space="preserve">IEEE Conference Paper | SRMIST Trichy | Department of Computer Science &amp;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2"/>
      <w:szCs w:val="22"/>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sz w:val="21"/>
      <w:szCs w:val="21"/>
    </w:rPr>
  </w:style>
  <w:style w:type="paragraph" w:styleId="Heading3">
    <w:name w:val="Heading 3"/>
    <w:basedOn w:val="Normal"/>
    <w:next w:val="Normal"/>
    <w:qFormat/>
    <w:pPr>
      <w:spacing w:before="160" w:after="60"/>
      <w:outlineLvl w:val="2"/>
    </w:pPr>
    <w:rPr>
      <w:rFonts w:ascii="Times New Roman" w:cs="Times New Roman" w:eastAsia="Times New Roman" w:hAnsi="Times New Roman"/>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2026-02-24T16:59:38.106Z</dcterms:created>
  <dcterms:modified xsi:type="dcterms:W3CDTF">2026-02-24T16:59:38.107Z</dcterms:modified>
</cp:coreProperties>
</file>

<file path=docProps/custom.xml><?xml version="1.0" encoding="utf-8"?>
<Properties xmlns="http://schemas.openxmlformats.org/officeDocument/2006/custom-properties" xmlns:vt="http://schemas.openxmlformats.org/officeDocument/2006/docPropsVTypes"/>
</file>